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right="0" w:hanging="709"/>
        <w:rPr/>
      </w:pPr>
      <w:r>
        <w:rPr/>
        <w:t>Versión: 1.</w:t>
      </w:r>
      <w:r>
        <w:rPr/>
        <w:t>7</w:t>
      </w:r>
      <w:r>
        <w:rPr/>
        <w:t xml:space="preserve">, </w:t>
      </w:r>
      <w:r>
        <w:rPr/>
        <w:t>1</w:t>
      </w:r>
      <w:r>
        <w:rPr/>
        <w:t>3</w:t>
      </w:r>
      <w:r>
        <w:rPr/>
        <w:t xml:space="preserve"> de junio.</w:t>
      </w:r>
    </w:p>
    <w:p>
      <w:pPr>
        <w:pStyle w:val="TextBody"/>
        <w:ind w:left="709" w:right="0" w:hanging="709"/>
        <w:rPr/>
      </w:pPr>
      <w:r>
        <w:rPr/>
      </w:r>
    </w:p>
    <w:p>
      <w:pPr>
        <w:pStyle w:val="TextBody"/>
        <w:ind w:left="709" w:right="0" w:hanging="709"/>
        <w:rPr/>
      </w:pPr>
      <w:r>
        <w:rPr/>
        <w:drawing>
          <wp:anchor behindDoc="0" distT="0" distB="0" distL="0" distR="0" simplePos="0" locked="0" layoutInCell="0" allowOverlap="1" relativeHeight="2">
            <wp:simplePos x="0" y="0"/>
            <wp:positionH relativeFrom="column">
              <wp:posOffset>17145</wp:posOffset>
            </wp:positionH>
            <wp:positionV relativeFrom="paragraph">
              <wp:posOffset>-5715</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2722245</wp:posOffset>
            </wp:positionH>
            <wp:positionV relativeFrom="paragraph">
              <wp:posOffset>-10160</wp:posOffset>
            </wp:positionV>
            <wp:extent cx="1689100" cy="95059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89100" cy="950595"/>
                    </a:xfrm>
                    <a:prstGeom prst="rect">
                      <a:avLst/>
                    </a:prstGeom>
                  </pic:spPr>
                </pic:pic>
              </a:graphicData>
            </a:graphic>
          </wp:anchor>
        </w:drawing>
      </w:r>
    </w:p>
    <w:p>
      <w:pPr>
        <w:pStyle w:val="Title"/>
        <w:jc w:val="left"/>
        <w:rPr>
          <w:sz w:val="40"/>
          <w:szCs w:val="40"/>
        </w:rPr>
      </w:pPr>
      <w:r>
        <w:rPr>
          <w:sz w:val="40"/>
          <w:szCs w:val="40"/>
        </w:rPr>
      </w:r>
    </w:p>
    <w:p>
      <w:pPr>
        <w:pStyle w:val="Title"/>
        <w:jc w:val="left"/>
        <w:rPr>
          <w:sz w:val="40"/>
          <w:szCs w:val="40"/>
        </w:rPr>
      </w:pPr>
      <w:r>
        <w:rPr>
          <w:sz w:val="40"/>
          <w:szCs w:val="40"/>
        </w:rPr>
      </w:r>
    </w:p>
    <w:p>
      <w:pPr>
        <w:pStyle w:val="Title"/>
        <w:jc w:val="left"/>
        <w:rPr>
          <w:sz w:val="40"/>
          <w:szCs w:val="40"/>
        </w:rPr>
      </w:pPr>
      <w:r>
        <w:rPr>
          <w:sz w:val="40"/>
          <w:szCs w:val="40"/>
        </w:rPr>
        <w:t>Convocatoria: Reconocimiento de publicación de asignaturas en acceso abierto 2022-2023</w:t>
      </w:r>
    </w:p>
    <w:p>
      <w:pPr>
        <w:pStyle w:val="Normal"/>
        <w:rPr/>
      </w:pPr>
      <w:r>
        <w:rPr/>
      </w:r>
    </w:p>
    <w:p>
      <w:pPr>
        <w:pStyle w:val="TextBody"/>
        <w:rPr>
          <w:i/>
          <w:i/>
          <w:iCs/>
        </w:rPr>
      </w:pPr>
      <w:r>
        <w:rPr>
          <w:i/>
          <w:iCs/>
        </w:rPr>
        <w:t>Resolución del Rector de la Universidad Rey Juan Carlos por la que se aprueba convocatoria pública para la concesión de un incentivo económico al personal docente e investigador de dicha Universidad, junto al reconocimiento de otros efectos favorables, por la publicación de asignaturas en acceso abierto para el curso 2022-2023.</w:t>
      </w:r>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r>
        <w:rPr/>
        <w:t>Esta convocatoria también se enmarca dentro de las acciones del Proyecto Tractor interuniversitario RED (</w:t>
      </w:r>
      <w:r>
        <w:rPr>
          <w:lang w:eastAsia="es-ES"/>
        </w:rPr>
        <w:t>Recursos educativos digitales: calidad y compartición en abierto)</w:t>
      </w:r>
      <w:r>
        <w:rPr/>
        <w:t>,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p>
    <w:p>
      <w:pPr>
        <w:pStyle w:val="TextBody"/>
        <w:rPr/>
      </w:pPr>
      <w:r>
        <w:rP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pPr>
        <w:pStyle w:val="Heading1"/>
        <w:numPr>
          <w:ilvl w:val="0"/>
          <w:numId w:val="4"/>
        </w:numPr>
        <w:rPr/>
      </w:pPr>
      <w:r>
        <w:rPr/>
        <w:t>1. Objeto de la convocatoria</w:t>
      </w:r>
    </w:p>
    <w:p>
      <w:pPr>
        <w:pStyle w:val="TextBody"/>
        <w:rPr/>
      </w:pPr>
      <w:r>
        <w:rPr/>
        <w:t xml:space="preserve">Esta convocatoria pretende promover el trabajo del personal docente </w:t>
      </w:r>
      <w:r>
        <w:rPr>
          <w:color w:val="000000"/>
        </w:rPr>
        <w:t>d</w:t>
      </w:r>
      <w:r>
        <w:rPr/>
        <w:t>e la URJC para que publiquen sus materiales en asignaturas en acceso abierto, evaluándose dicho trabajo y asignando, en su caso, un incentivo económico por el que se reconoce el esfuerzo realizado en la elaboración de materiales publicados durante el curso 2022-23</w:t>
      </w:r>
      <w:r>
        <w:rPr/>
        <w:commentReference w:id="0"/>
      </w:r>
      <w:r>
        <w:rPr/>
        <w:t>. Esta convocatoria está dirigida a todo el Personal Docente de la Universidad, siempre que cumpla las condiciones especificadas más adelante en esta convocatoria, donde se indica</w:t>
      </w:r>
      <w:r>
        <w:rPr/>
        <w:commentReference w:id="1"/>
      </w:r>
      <w:r>
        <w:rPr/>
        <w:t xml:space="preserve"> qué asignaturas se pueden considerar, qué condiciones formales deben cumplir sus materiales, cómo deben ser publicados y utilizad</w:t>
      </w:r>
      <w:r>
        <w:rPr>
          <w:color w:val="000000"/>
        </w:rPr>
        <w:t>os en esas asignatura</w:t>
      </w:r>
      <w:r>
        <w:rPr/>
        <w:t>s, y cómo se realizará el reconocimiento a sus autores. Todas las condic</w:t>
      </w:r>
      <w:r>
        <w:rPr>
          <w:color w:val="000000"/>
        </w:rPr>
        <w:t xml:space="preserve">iones deben cumplirse en el </w:t>
      </w:r>
      <w:r>
        <w:rPr/>
        <w:t xml:space="preserve">momento de finalización del plazo de presentación de la solicitud a esta convocatoria. </w:t>
      </w:r>
    </w:p>
    <w:p>
      <w:pPr>
        <w:pStyle w:val="Heading1"/>
        <w:numPr>
          <w:ilvl w:val="0"/>
          <w:numId w:val="4"/>
        </w:numPr>
        <w:rPr/>
      </w:pPr>
      <w:r>
        <w:rPr/>
        <w:t>2. Asignaturas</w:t>
      </w:r>
    </w:p>
    <w:p>
      <w:pPr>
        <w:pStyle w:val="Normal"/>
        <w:jc w:val="both"/>
        <w:rPr/>
      </w:pPr>
      <w:r>
        <w:rPr/>
      </w:r>
    </w:p>
    <w:p>
      <w:pPr>
        <w:pStyle w:val="TextBody"/>
        <w:rPr/>
      </w:pPr>
      <w:r>
        <w:rPr>
          <w:color w:val="000000"/>
        </w:rPr>
        <w:t>Las asignaturas presentadas en las solicitudes a esta convocatoria deben tener sus materiales visibles en Aula Virtual mediante enlaces a las versiones depositadas en los</w:t>
      </w:r>
      <w:r>
        <w:rPr/>
        <w:commentReference w:id="2"/>
      </w:r>
      <w:r>
        <w:rPr>
          <w:color w:val="000000"/>
        </w:rPr>
        <w:t xml:space="preserve"> repositorios de acceso abierto de la Universidad, y cumplir las siguientes características:</w:t>
      </w:r>
      <w:r>
        <w:rPr/>
        <w:t xml:space="preserve"> </w:t>
      </w:r>
    </w:p>
    <w:p>
      <w:pPr>
        <w:pStyle w:val="TextBody"/>
        <w:numPr>
          <w:ilvl w:val="0"/>
          <w:numId w:val="6"/>
        </w:numPr>
        <w:rPr/>
      </w:pPr>
      <w:r>
        <w:rPr/>
        <w:t xml:space="preserve">La asignatura debe ser de docencia oficial en un grado o máster universitario de la Universidad Rey Juan Carlos durante el curso 2022-2023. </w:t>
      </w:r>
    </w:p>
    <w:p>
      <w:pPr>
        <w:pStyle w:val="TextBody"/>
        <w:numPr>
          <w:ilvl w:val="0"/>
          <w:numId w:val="6"/>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r>
        <w:rPr/>
        <w:commentReference w:id="3"/>
      </w:r>
      <w:r>
        <w:rPr/>
        <w:t>:</w:t>
      </w:r>
    </w:p>
    <w:p>
      <w:pPr>
        <w:pStyle w:val="TextBody"/>
        <w:numPr>
          <w:ilvl w:val="1"/>
          <w:numId w:val="6"/>
        </w:numPr>
        <w:rPr/>
      </w:pPr>
      <w:r>
        <w:rPr/>
        <w:t>Guía de la asignatura, en formato libre.</w:t>
      </w:r>
    </w:p>
    <w:p>
      <w:pPr>
        <w:pStyle w:val="TextBody"/>
        <w:numPr>
          <w:ilvl w:val="1"/>
          <w:numId w:val="6"/>
        </w:numPr>
        <w:rPr/>
      </w:pPr>
      <w:r>
        <w:rPr/>
        <w:t>Apuntes de la asignatura</w:t>
      </w:r>
      <w:r>
        <w:rPr>
          <w:rStyle w:val="FootnoteAnchor"/>
        </w:rPr>
        <w:footnoteReference w:id="2"/>
      </w:r>
    </w:p>
    <w:p>
      <w:pPr>
        <w:pStyle w:val="TextBody"/>
        <w:numPr>
          <w:ilvl w:val="1"/>
          <w:numId w:val="6"/>
        </w:numPr>
        <w:rPr/>
      </w:pPr>
      <w:r>
        <w:rPr/>
        <w:t>Presentaciones o transparencias de los temas de la asignatura</w:t>
      </w:r>
    </w:p>
    <w:p>
      <w:pPr>
        <w:pStyle w:val="TextBody"/>
        <w:numPr>
          <w:ilvl w:val="1"/>
          <w:numId w:val="6"/>
        </w:numPr>
        <w:rPr/>
      </w:pPr>
      <w:r>
        <w:rPr/>
        <w:t>Colecciones de ejercicios, problemas, trabajos o proyectos con o sin solución</w:t>
      </w:r>
    </w:p>
    <w:p>
      <w:pPr>
        <w:pStyle w:val="TextBody"/>
        <w:numPr>
          <w:ilvl w:val="1"/>
          <w:numId w:val="6"/>
        </w:numPr>
        <w:rPr/>
      </w:pPr>
      <w:r>
        <w:rPr/>
        <w:t>Colecciones de pruebas de evaluación con o sin solución</w:t>
      </w:r>
    </w:p>
    <w:p>
      <w:pPr>
        <w:pStyle w:val="TextBody"/>
        <w:numPr>
          <w:ilvl w:val="1"/>
          <w:numId w:val="6"/>
        </w:numPr>
        <w:rPr/>
      </w:pPr>
      <w:r>
        <w:rPr/>
        <w:t xml:space="preserve">Videos cortos (video-píldoras) </w:t>
      </w:r>
      <w:r>
        <w:rPr/>
        <w:t>y audios (podcasts)</w:t>
      </w:r>
      <w:r>
        <w:rPr/>
        <w:t>, para facilitar el seguimiento de los temas de la asignatura</w:t>
      </w:r>
    </w:p>
    <w:p>
      <w:pPr>
        <w:pStyle w:val="TextBody"/>
        <w:numPr>
          <w:ilvl w:val="1"/>
          <w:numId w:val="6"/>
        </w:numPr>
        <w:rPr/>
      </w:pPr>
      <w:r>
        <w:rPr/>
        <w:t>Otros materiales que puedan ser relevantes, dadas las características específicas de la asignatura, como por ejemplo colecciones de programas de ordenador o colecciones de ilustraciones que se utilicen para complementar las explicaciones de una asignatura.</w:t>
      </w:r>
      <w:r>
        <w:rPr/>
        <w:commentReference w:id="4"/>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5"/>
        </w:numPr>
        <w:rPr/>
      </w:pPr>
      <w:r>
        <w:rPr/>
        <w:t>Ha de estar actualizado para el curso académico al que se refiere esta convocatoria, y ser utilizado durante su impartición.</w:t>
      </w:r>
    </w:p>
    <w:p>
      <w:pPr>
        <w:pStyle w:val="TextBody"/>
        <w:numPr>
          <w:ilvl w:val="0"/>
          <w:numId w:val="5"/>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5"/>
        </w:numPr>
        <w:rPr/>
      </w:pPr>
      <w:r>
        <w:rPr/>
        <w:t>Es necesario que el material tenga en cuenta las buenas prácticas que aseguren los derechos sobre los materiales que se publican en abierto.</w:t>
      </w:r>
    </w:p>
    <w:p>
      <w:pPr>
        <w:pStyle w:val="TextBody"/>
        <w:numPr>
          <w:ilvl w:val="0"/>
          <w:numId w:val="5"/>
        </w:numPr>
        <w:rPr/>
      </w:pPr>
      <w:r>
        <w:rP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5"/>
      </w:r>
      <w:r>
        <w:rPr/>
        <w:t>), como un solo documento</w:t>
      </w:r>
      <w:r>
        <w:rPr/>
        <w:commentReference w:id="5"/>
      </w:r>
      <w:r>
        <w:rPr/>
        <w:t xml:space="preserve"> por categor</w:t>
      </w:r>
      <w:r>
        <w:rPr>
          <w:sz w:val="18"/>
        </w:rPr>
        <w:t xml:space="preserve">ía, </w:t>
      </w:r>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5"/>
        </w:numPr>
        <w:rPr/>
      </w:pPr>
      <w:r>
        <w:rPr/>
        <w:t xml:space="preserve">En el caso de videos </w:t>
      </w:r>
      <w:r>
        <w:rPr/>
        <w:t>y audios</w:t>
      </w:r>
      <w:r>
        <w:rPr/>
        <w:t>, deben estar todos depositados en la misma serie correspondiente a la asignatura en TV URJC</w:t>
      </w:r>
      <w:r>
        <w:rPr>
          <w:rStyle w:val="FootnoteAnchor"/>
        </w:rPr>
        <w:footnoteReference w:id="7"/>
      </w:r>
      <w:r>
        <w:rPr/>
        <w:t xml:space="preserve"> y publicados en la asignatura correspondiente según las instrucciones detalladas en el procedimiento de subida de materiales a TV URJC</w:t>
      </w:r>
      <w:r>
        <w:rPr>
          <w:rStyle w:val="FootnoteAnchor"/>
        </w:rPr>
        <w:footnoteReference w:id="8"/>
      </w:r>
      <w:r>
        <w:rPr/>
        <w:t>.</w:t>
      </w:r>
    </w:p>
    <w:p>
      <w:pPr>
        <w:pStyle w:val="TextBody"/>
        <w:numPr>
          <w:ilvl w:val="0"/>
          <w:numId w:val="5"/>
        </w:numPr>
        <w:rPr/>
      </w:pPr>
      <w:r>
        <w:rP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Heading1"/>
        <w:numPr>
          <w:ilvl w:val="0"/>
          <w:numId w:val="4"/>
        </w:numPr>
        <w:rPr/>
      </w:pPr>
      <w:r>
        <w:rPr/>
        <w:t xml:space="preserve">3. Incentivos y efectos </w:t>
      </w:r>
    </w:p>
    <w:p>
      <w:pPr>
        <w:pStyle w:val="TextBody"/>
        <w:rPr/>
      </w:pPr>
      <w:r>
        <w:rPr/>
        <w:t>Como resultado de la evaluación de las asignaturas presentadas a esta convocatoria, éstas serán clasificadas en “asignaturas sin materiales significativos en acceso abierto”, “asignaturas en acceso abierto” y “asignaturas destacadamente en acceso abierto”, según la baremación total que obtengan al aplicar la rúbrica descrita en esta convocatoria.</w:t>
      </w:r>
      <w:r>
        <w:rPr/>
        <w:commentReference w:id="6"/>
      </w:r>
    </w:p>
    <w:p>
      <w:pPr>
        <w:pStyle w:val="TextBody"/>
        <w:rPr/>
      </w:pPr>
      <w:r>
        <w:rPr/>
        <w:t>Se clasificarán como asignaturas “sin materiales significativos en acceso abierto” aquellas que reciban una baremación total menor de 6. Estas asignaturas recibirán indicaciones sobre cómo mejorar la publicación en acceso abierto de sus materiales.</w:t>
      </w:r>
    </w:p>
    <w:p>
      <w:pPr>
        <w:pStyle w:val="TextBody"/>
        <w:rPr/>
      </w:pPr>
      <w:r>
        <w:rPr/>
        <w:t>Se clasificarán como asignaturas “en acceso abierto” aquellas que reciban una baremación total mayor o igual a 6.</w:t>
      </w:r>
    </w:p>
    <w:p>
      <w:pPr>
        <w:pStyle w:val="TextBody"/>
        <w:rPr/>
      </w:pPr>
      <w:r>
        <w:rPr/>
        <w:t xml:space="preserve">Se clasificarán como asignaturas “destacadamente en acceso abierto” el 10% de asignaturas con baremación más alta, calculado sobre el total de asignaturas clasificadas como “en acceso abierto”, siempre que su baremación sea igual o superior a 20.  </w:t>
      </w:r>
    </w:p>
    <w:p>
      <w:pPr>
        <w:pStyle w:val="TextBody"/>
        <w:rPr/>
      </w:pPr>
      <w:r>
        <w:rP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 corresponden a dicho docente en esa asignatura por la cantidad económica por crédito, hasta un total máximo por docente de 1.500 euros. El número de créditos que corresponden a cada docente en una asignatura se obtendrá como resultado de dividir a partes iguales entre los beneficiarios de la asignatura el número de créditos ECTS que corresponden a la misma. Se entiende por “beneficiario de la asignatura” quien participe en su impartición (según el Plan de Ordenación Docente correspondiente) y sea autor de alguno de los materiales que cumplan las condiciones especificadas anteriormente.</w:t>
      </w:r>
      <w:r>
        <w:rPr/>
        <w:commentReference w:id="7"/>
      </w:r>
      <w:r>
        <w:rPr/>
        <w:t xml:space="preserve"> La dotación global de los fondos para el curso 2022/23 ascenderá a 80.000 euros (40.000 euros por cuatrimestre), que serán satisfechos con cargo al presupuesto 30NTUD06 </w:t>
      </w:r>
      <w:r>
        <w:rPr/>
        <w:commentReference w:id="8"/>
      </w:r>
      <w:r>
        <w:rPr/>
        <w:t>de la partida Unidigital. Para decidir qué asignaturas serán las que den derecho a este incentivo económico, se comenzará por las que tengan una baremación más alta, computando el número de ECTS que generen derecho a incentivo económico (según el cálculo anterior) hasta llegar a un total de 400 ECTS por cuatrimestre y agotar crédito presupuestario. 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en nómina, en concepto de “cuantía económica ligada a publicación de asignaturas en abierto”</w:t>
      </w:r>
      <w:r>
        <w:rPr/>
        <w:commentReference w:id="9"/>
      </w:r>
      <w:r>
        <w:rPr/>
        <w:t>.</w:t>
      </w:r>
    </w:p>
    <w:p>
      <w:pPr>
        <w:pStyle w:val="TextBody"/>
        <w:rPr/>
      </w:pPr>
      <w:r>
        <w:rPr/>
        <w:t xml:space="preserve">Por último, las asignaturas que sean clasificadas como “destacadamente en acceso abierto” 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Heading1"/>
        <w:numPr>
          <w:ilvl w:val="0"/>
          <w:numId w:val="4"/>
        </w:numPr>
        <w:rPr/>
      </w:pPr>
      <w:r>
        <w:rPr/>
        <w:t>4. Evaluación de las propuestas</w:t>
      </w:r>
    </w:p>
    <w:p>
      <w:pPr>
        <w:pStyle w:val="TextBody"/>
        <w:rPr/>
      </w:pPr>
      <w:r>
        <w:rPr/>
        <w:t>La evaluación de las propuestas presentadas se llevará a cabo de forma colegiada por los Coordinadores o Coordinadoras de la Oficina de Conocimiento y Cultura Libres, de Software Libre y de Cultura Libre de la Universidad, asistidos por personal adscrito al Vicerrectorado de Extensión Universitaria y al Centro de Innovación Docente y Educación Digital de la Universidad, atendiendo a los criterios establecidos en la rúbrica del Anexo III. El funcionamiento será colegiado excepto en lo que les pueda afectar personalmente, en cuyo caso se inhibirán y la evaluación se realizará por los evaluadores no afectados.</w:t>
      </w:r>
      <w:r>
        <w:rPr/>
        <w:commentReference w:id="10"/>
      </w:r>
    </w:p>
    <w:p>
      <w:pPr>
        <w:pStyle w:val="TextBody"/>
        <w:rPr/>
      </w:pPr>
      <w:r>
        <w:rPr/>
        <w:t>Los resultados de esta evaluación serán utilizados por la Comisión de Asignaturas en Abierto para decidir su clasificación en las tres categorías mencionadas anteriormente</w:t>
      </w:r>
      <w:r>
        <w:rPr/>
        <w:commentReference w:id="11"/>
      </w:r>
      <w:r>
        <w:rPr/>
        <w:t xml:space="preserve"> y su financiación si procede. Esta Comisión está integrada por:</w:t>
      </w:r>
    </w:p>
    <w:p>
      <w:pPr>
        <w:pStyle w:val="TextBody"/>
        <w:numPr>
          <w:ilvl w:val="0"/>
          <w:numId w:val="8"/>
        </w:numPr>
        <w:rPr/>
      </w:pPr>
      <w:r>
        <w:rPr/>
        <w:t>El Vicerrector o la Vicerrectora, o persona en quien delegue, con competencias en materia de Publicación en Acceso Abierto, que la presidirá.</w:t>
      </w:r>
      <w:r>
        <w:rPr/>
        <w:commentReference w:id="12"/>
      </w:r>
    </w:p>
    <w:p>
      <w:pPr>
        <w:pStyle w:val="TextBody"/>
        <w:numPr>
          <w:ilvl w:val="0"/>
          <w:numId w:val="8"/>
        </w:numPr>
        <w:rPr/>
      </w:pPr>
      <w:r>
        <w:rPr/>
        <w:t>El Vicerrector o la Vicerrectora, o persona en quien delegue, con competencias en materia de Ordenación Académica.</w:t>
      </w:r>
    </w:p>
    <w:p>
      <w:pPr>
        <w:pStyle w:val="TextBody"/>
        <w:numPr>
          <w:ilvl w:val="0"/>
          <w:numId w:val="8"/>
        </w:numPr>
        <w:rPr/>
      </w:pPr>
      <w:r>
        <w:rPr/>
        <w:t>El Vicerrector o la Vicerrectora, o persona en quien delegue, con competencias en materia de Transformación Digital.</w:t>
      </w:r>
    </w:p>
    <w:p>
      <w:pPr>
        <w:pStyle w:val="TextBody"/>
        <w:numPr>
          <w:ilvl w:val="0"/>
          <w:numId w:val="8"/>
        </w:numPr>
        <w:rPr/>
      </w:pPr>
      <w:r>
        <w:rPr/>
        <w:t>El Director Académico o la Directora Académica del Centro de Innovación Docente y Educación Digital (CIED), o persona en quien delegue.</w:t>
      </w:r>
    </w:p>
    <w:p>
      <w:pPr>
        <w:pStyle w:val="TextBody"/>
        <w:numPr>
          <w:ilvl w:val="0"/>
          <w:numId w:val="8"/>
        </w:numPr>
        <w:rPr/>
      </w:pPr>
      <w:r>
        <w:rPr/>
        <w:t>El Coordinador Académico o la Coordinadora Académica de la Oficina de Conocimiento y Cultura Libres,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4">
        <w:r>
          <w:rPr>
            <w:rStyle w:val="InternetLink"/>
          </w:rPr>
          <w:t>ofilibre@urjc.es</w:t>
        </w:r>
      </w:hyperlink>
      <w:r>
        <w:rPr/>
        <w:t>. En lo no dispuesto en la presente convocatoria en relación al funcionamiento y actuación del órgano que atribuirá puntuación a las solicitudes instadas y de la Comisión de Asignaturas en Abierto, se estará a la Ley 39/2015, de 1 de octubre, de Procedimiento Administrativo Común de las Administraciones Públicas y a la Ley 40/2015, de 1 de octubre, de Régimen Jurídico del Sector Público.</w:t>
      </w:r>
      <w:r>
        <w:rPr/>
        <w:commentReference w:id="13"/>
      </w:r>
    </w:p>
    <w:p>
      <w:pPr>
        <w:pStyle w:val="Heading1"/>
        <w:numPr>
          <w:ilvl w:val="0"/>
          <w:numId w:val="4"/>
        </w:numPr>
        <w:rPr/>
      </w:pPr>
      <w:r>
        <w:rPr/>
        <w:t>5. Formalización y presentación de solicitudes</w:t>
      </w:r>
    </w:p>
    <w:p>
      <w:pPr>
        <w:pStyle w:val="TextBody"/>
        <w:rPr/>
      </w:pPr>
      <w:r>
        <w:rPr/>
        <w:t>El proceso de formalización y presentación de solicitudes, la evaluación y publicación de resultados, y los procedimientos de reclamación, quedan definidos como sigue.</w:t>
      </w:r>
    </w:p>
    <w:p>
      <w:pPr>
        <w:pStyle w:val="TextBody"/>
        <w:rPr>
          <w:b/>
          <w:b/>
          <w:bCs/>
        </w:rPr>
      </w:pPr>
      <w:r>
        <w:rPr>
          <w:b/>
          <w:bCs/>
        </w:rPr>
        <w:t>5.1. Consideraciones previas y presentación de solicitudes</w:t>
      </w:r>
    </w:p>
    <w:p>
      <w:pPr>
        <w:pStyle w:val="TextBody"/>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pPr>
        <w:pStyle w:val="TextBody"/>
        <w:rPr/>
      </w:pPr>
      <w:r>
        <w:rPr/>
        <w:t>La solicitud de cada asignatura deberá ser realizada por el docente que figure como responsable de grupo de actas correspondiente para el curso 2022/2023. Para ello rellenará por cada asignatura a solicitar un formulario que incluirá al menos los datos descritos en el Anexo I de esta convocatoria. El procedimiento de entrega, incluido el enlace a dicho formulario estarán disponibles en la Guía sobre reconocimiento de publicación de asignaturas en acceso abierto</w:t>
      </w:r>
      <w:r>
        <w:rPr>
          <w:rStyle w:val="FootnoteAnchor"/>
        </w:rPr>
        <w:footnoteReference w:id="10"/>
      </w:r>
      <w:r>
        <w:rPr/>
        <w:t>. En esta guía se mantendrá también un listado de preguntas frecuentes (y sus respuestas) y otra documentación de apoyo para ayudar en la publicación de los materiales en acceso abierto, y en general, en la presentación en esta convocatoria.</w:t>
      </w:r>
      <w:r>
        <w:rPr/>
        <w:commentReference w:id="14"/>
      </w:r>
    </w:p>
    <w:p>
      <w:pPr>
        <w:pStyle w:val="TextBody"/>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mediante declaración responsable</w:t>
      </w:r>
      <w:r>
        <w:rPr/>
        <w:commentReference w:id="15"/>
      </w:r>
      <w:r>
        <w:rPr/>
        <w:t xml:space="preserve"> que la información que incluye en él es cierta, y que efectivamente los autores indicados tienen los derechos correspondientes para la publicación de los materiales en abierto de la asignatura que indica. Asimismo, deberá asegurar de que ha informado a dichos docentes de la política de tratamiento de datos personales de la presente convocatoria.</w:t>
      </w:r>
      <w:r>
        <w:rPr/>
        <w:commentReference w:id="16"/>
      </w:r>
    </w:p>
    <w:p>
      <w:pPr>
        <w:pStyle w:val="TextBody"/>
        <w:rPr/>
      </w:pPr>
      <w:r>
        <w:rPr/>
        <w:t>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y hacer así efectiva la solicitud para una asignatura</w:t>
      </w:r>
      <w:r>
        <w:rPr/>
        <w:commentReference w:id="17"/>
      </w:r>
      <w:r>
        <w:rPr/>
        <w:t>, es el día 30 de septiembre de 2022 a las 23:59 para asignaturas que se impartan durante el primer cuatrimestre, y el 20 de enero de 2023 a la misma hora para asignaturas que se impartan durante el segundo cuatrimestre.</w:t>
      </w:r>
    </w:p>
    <w:p>
      <w:pPr>
        <w:pStyle w:val="TextBody"/>
        <w:rPr>
          <w:b/>
          <w:b/>
          <w:bCs/>
        </w:rPr>
      </w:pPr>
      <w:r>
        <w:rPr>
          <w:b/>
          <w:bCs/>
        </w:rPr>
        <w:t>5.2 Publicación de listas provisionales de solicitudes admitidas y excluidas</w:t>
      </w:r>
    </w:p>
    <w:p>
      <w:pPr>
        <w:pStyle w:val="TextBody"/>
        <w:rPr/>
      </w:pPr>
      <w:r>
        <w:rPr/>
        <w:t xml:space="preserve">Finalizado el plazo para la presentación de solicitudes, el Vicerrectorado de Extensión Universitaria, u órgano que asuma sus competencias, examinará las solicitudes, y hará público en el tablón de anuncios electrónico de la URJC la resolución </w:t>
      </w:r>
      <w:commentRangeStart w:id="18"/>
      <w:r>
        <w:rPr/>
        <w:t>por la que se proceda a la publicación de las solicitudes</w:t>
      </w:r>
      <w:r>
        <w:rPr/>
      </w:r>
      <w:commentRangeEnd w:id="18"/>
      <w:r>
        <w:commentReference w:id="18"/>
      </w:r>
      <w:r>
        <w:rPr/>
        <w:t xml:space="preserve"> admitidas a trámite y las excluidas provisionalmente, junto con las causas de exclusión, concediendo un plazo de 10 días hábiles para la subsanación.</w:t>
      </w:r>
    </w:p>
    <w:p>
      <w:pPr>
        <w:pStyle w:val="TextBody"/>
        <w:rPr>
          <w:b/>
          <w:b/>
          <w:bCs/>
        </w:rPr>
      </w:pPr>
      <w:r>
        <w:rPr>
          <w:b/>
          <w:bCs/>
        </w:rPr>
        <w:t>5.3 Subsanación de errores y publicación de listas definitivas</w:t>
      </w:r>
    </w:p>
    <w:p>
      <w:pPr>
        <w:pStyle w:val="TextBody"/>
        <w:rPr/>
      </w:pPr>
      <w:r>
        <w:rP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pPr>
        <w:pStyle w:val="TextBody"/>
        <w:rPr>
          <w:b/>
          <w:b/>
          <w:bCs/>
        </w:rPr>
      </w:pPr>
      <w:r>
        <w:rPr>
          <w:b/>
          <w:bCs/>
        </w:rPr>
        <w:t>5.4 Presentación de recursos a las listas definitivas</w:t>
      </w:r>
    </w:p>
    <w:p>
      <w:pPr>
        <w:pStyle w:val="TextBody"/>
        <w:rPr/>
      </w:pPr>
      <w:r>
        <w:rP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rPr>
          <w:b/>
          <w:b/>
          <w:bCs/>
        </w:rPr>
      </w:pPr>
      <w:r>
        <w:rPr>
          <w:b/>
          <w:bCs/>
        </w:rPr>
        <w:t>5.5 Valoración de propuestas y publicación de resolución provisional</w:t>
      </w:r>
    </w:p>
    <w:p>
      <w:pPr>
        <w:pStyle w:val="TextBody"/>
        <w:rPr/>
      </w:pPr>
      <w:r>
        <w:rPr/>
        <w:t xml:space="preserve">Las propuestas serán evaluadas, según se ha especificado, y los resultados de esta evaluación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emitirá la Resolución provisional de las asignaturas concedidas en abierto y la financiación correspondiente del profesorado, publicándola en el tablón de anuncios electrónico de la URJC. </w:t>
      </w:r>
    </w:p>
    <w:p>
      <w:pPr>
        <w:pStyle w:val="TextBody"/>
        <w:rPr>
          <w:b/>
          <w:b/>
          <w:bCs/>
        </w:rPr>
      </w:pPr>
      <w:r>
        <w:rPr>
          <w:b/>
          <w:bCs/>
        </w:rPr>
        <w:t>5.6 Presentación de reclamaciones a la resolución provisional y publicación de resolución definitiva</w:t>
      </w:r>
    </w:p>
    <w:p>
      <w:pPr>
        <w:pStyle w:val="TextBody"/>
        <w:rPr/>
      </w:pPr>
      <w:r>
        <w:rPr/>
        <w:t>Seguidamente, se abrirá un proceso de reclamación concediendo un plazo de 10 días hábiles. Estas reclamaciones podrán ser tanto sobre los resultados de la evaluación como sobre la valoración final realizada por la Comisión de Asignaturas en Abierto.</w:t>
      </w:r>
      <w:r>
        <w:rPr/>
        <w:commentReference w:id="19"/>
      </w:r>
      <w:r>
        <w:rPr/>
        <w:t xml:space="preserve">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pPr>
        <w:pStyle w:val="TextBody"/>
        <w:rPr>
          <w:b/>
          <w:b/>
          <w:bCs/>
        </w:rPr>
      </w:pPr>
      <w:r>
        <w:rPr>
          <w:b/>
          <w:bCs/>
        </w:rPr>
        <w:t>5.7 Presentación de reclamaciones a la resolución definitiva</w:t>
      </w:r>
    </w:p>
    <w:p>
      <w:pPr>
        <w:pStyle w:val="TextBody"/>
        <w:rPr/>
      </w:pPr>
      <w:r>
        <w:rPr/>
        <w:t>Contra la resolución definitiva, el solicitante podrá presentar recurso de alzada ante el Rector en los términos indicados en el punto 5.4.</w:t>
      </w:r>
    </w:p>
    <w:p>
      <w:pPr>
        <w:pStyle w:val="Heading1"/>
        <w:numPr>
          <w:ilvl w:val="0"/>
          <w:numId w:val="4"/>
        </w:numPr>
        <w:rPr/>
      </w:pPr>
      <w:r>
        <w:rPr/>
        <w:t>6. Tratamiento de datos de carácter personal</w:t>
      </w:r>
      <w:r>
        <w:rPr/>
        <w:commentReference w:id="20"/>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rPr/>
      </w:pPr>
      <w:r>
        <w:rPr/>
        <w:t>Con el objetivo de dar cumplimiento a lo establecido en la normativa de protección de datos en cuanto a la información que debe facilitarse a las personas interesadas, se informa de lo siguiente en relación con la presente convocatoria:</w:t>
      </w:r>
    </w:p>
    <w:p>
      <w:pPr>
        <w:pStyle w:val="TextBody"/>
        <w:rPr>
          <w:b/>
          <w:b/>
          <w:bCs/>
        </w:rPr>
      </w:pPr>
      <w:r>
        <w:rPr>
          <w:b/>
          <w:bCs/>
        </w:rPr>
        <w:t>6.1 Responsable del tratamiento</w:t>
      </w:r>
    </w:p>
    <w:p>
      <w:pPr>
        <w:pStyle w:val="TextBody"/>
        <w:rPr/>
      </w:pPr>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p>
    <w:p>
      <w:pPr>
        <w:pStyle w:val="TextBody"/>
        <w:rPr>
          <w:b/>
          <w:b/>
          <w:bCs/>
        </w:rPr>
      </w:pPr>
      <w:r>
        <w:rPr>
          <w:b/>
          <w:bCs/>
        </w:rPr>
        <w:t>6.2. Finalidad y legitimación del tratamiento</w:t>
      </w:r>
    </w:p>
    <w:p>
      <w:pPr>
        <w:pStyle w:val="TextBody"/>
        <w:rPr/>
      </w:pPr>
      <w:r>
        <w:rPr/>
        <w:t xml:space="preserve">La finalidad del tratamiento de datos personales es la gestión de la convocatoria para el  reconocimiento de la publicación de asignaturas en acceso abierto, teniendo como bases de legitimación general las siguientes: </w:t>
      </w:r>
    </w:p>
    <w:p>
      <w:pPr>
        <w:pStyle w:val="TextBody"/>
        <w:rPr/>
      </w:pPr>
      <w:r>
        <w:rPr/>
        <w:t xml:space="preserve">a) Estarán legitimados por el interés público los tratamientos de datos realizados para la gestión de esta convocatoria. </w:t>
      </w:r>
    </w:p>
    <w:p>
      <w:pPr>
        <w:pStyle w:val="TextBody"/>
        <w:rPr/>
      </w:pPr>
      <w:r>
        <w:rPr/>
        <w:t>b) Tendrán como base de legitimación el cumplimiento de una obligación legal, los siguientes tratamientos en relación con las normas que se citan a continuación:</w:t>
      </w:r>
    </w:p>
    <w:p>
      <w:pPr>
        <w:pStyle w:val="TextBody"/>
        <w:numPr>
          <w:ilvl w:val="0"/>
          <w:numId w:val="3"/>
        </w:numPr>
        <w:rPr/>
      </w:pPr>
      <w:r>
        <w:rPr/>
        <w:t>Recogida de datos mediante solicitud.</w:t>
      </w:r>
    </w:p>
    <w:p>
      <w:pPr>
        <w:pStyle w:val="TextBody"/>
        <w:numPr>
          <w:ilvl w:val="0"/>
          <w:numId w:val="3"/>
        </w:numPr>
        <w:rPr/>
      </w:pPr>
      <w:r>
        <w:rPr/>
        <w:t xml:space="preserve">Las publicaciones realizadas con efectos de notificación de acuerdo con las normas del procedimiento administrativo común. </w:t>
      </w:r>
    </w:p>
    <w:p>
      <w:pPr>
        <w:pStyle w:val="TextBody"/>
        <w:numPr>
          <w:ilvl w:val="0"/>
          <w:numId w:val="3"/>
        </w:numPr>
        <w:rPr/>
      </w:pPr>
      <w:r>
        <w:rPr/>
        <w:t>Las publicaciones realizadas, en su caso, en el portal de transparencia exigibles por la normativa de transparencia.</w:t>
      </w:r>
    </w:p>
    <w:p>
      <w:pPr>
        <w:pStyle w:val="TextBody"/>
        <w:rPr>
          <w:b/>
          <w:b/>
          <w:bCs/>
        </w:rPr>
      </w:pPr>
      <w:r>
        <w:rPr>
          <w:b/>
          <w:bCs/>
        </w:rPr>
        <w:t>6.3. Comprobación de la veracidad de los datos</w:t>
      </w:r>
    </w:p>
    <w:p>
      <w:pPr>
        <w:pStyle w:val="TextBody"/>
        <w:rPr/>
      </w:pPr>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pPr>
        <w:pStyle w:val="TextBody"/>
        <w:rPr>
          <w:b/>
          <w:b/>
          <w:bCs/>
        </w:rPr>
      </w:pPr>
      <w:r>
        <w:rPr>
          <w:b/>
          <w:bCs/>
        </w:rPr>
        <w:t>6.4. Comunicación de datos</w:t>
      </w:r>
    </w:p>
    <w:p>
      <w:pPr>
        <w:pStyle w:val="TextBody"/>
        <w:rPr/>
      </w:pPr>
      <w:r>
        <w:rPr/>
        <w:t>Los datos personales no serán cedidos a terceros salvo en aquellos casos que exista una obligación legal.</w:t>
      </w:r>
    </w:p>
    <w:p>
      <w:pPr>
        <w:pStyle w:val="TextBody"/>
        <w:rPr>
          <w:b/>
          <w:b/>
          <w:bCs/>
        </w:rPr>
      </w:pPr>
      <w:r>
        <w:rPr>
          <w:b/>
          <w:bCs/>
        </w:rPr>
        <w:t>6.5. Conservación de los datos</w:t>
      </w:r>
    </w:p>
    <w:p>
      <w:pPr>
        <w:pStyle w:val="TextBody"/>
        <w:rPr/>
      </w:pPr>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pPr>
        <w:pStyle w:val="TextBody"/>
        <w:rPr>
          <w:b/>
          <w:b/>
          <w:bCs/>
        </w:rPr>
      </w:pPr>
      <w:r>
        <w:rPr>
          <w:b/>
          <w:bCs/>
        </w:rPr>
        <w:t>6.6. Ejercicio de derechos por los interesados</w:t>
      </w:r>
    </w:p>
    <w:p>
      <w:pPr>
        <w:pStyle w:val="TextBody"/>
        <w:rPr/>
      </w:pPr>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pPr>
        <w:pStyle w:val="TextBody"/>
        <w:rPr/>
      </w:pPr>
      <w:r>
        <w:rP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1"/>
      </w:r>
      <w:r>
        <w:rPr/>
        <w:t>, sita en la calle Jorge Juan, 6, 28001 Madrid.</w:t>
      </w:r>
    </w:p>
    <w:p>
      <w:pPr>
        <w:pStyle w:val="TextBody"/>
        <w:rPr>
          <w:b/>
          <w:b/>
          <w:bCs/>
        </w:rPr>
      </w:pPr>
      <w:r>
        <w:rPr>
          <w:b/>
          <w:bCs/>
        </w:rPr>
        <w:t>6.7. Información por el solicitante al resto de interesados</w:t>
      </w:r>
    </w:p>
    <w:p>
      <w:pPr>
        <w:pStyle w:val="TextBody"/>
        <w:rPr/>
      </w:pPr>
      <w:r>
        <w:rP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pPr>
        <w:pStyle w:val="Heading1"/>
        <w:numPr>
          <w:ilvl w:val="0"/>
          <w:numId w:val="4"/>
        </w:numPr>
        <w:rPr/>
      </w:pPr>
      <w:r>
        <w:rPr/>
        <w:t>7. Recursos</w:t>
      </w:r>
    </w:p>
    <w:p>
      <w:pPr>
        <w:pStyle w:val="TextBody"/>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rPr/>
        <w:commentReference w:id="21"/>
      </w:r>
    </w:p>
    <w:p>
      <w:pPr>
        <w:pStyle w:val="Normal"/>
        <w:rPr/>
      </w:pPr>
      <w:r>
        <w:rPr/>
      </w:r>
      <w:r>
        <w:br w:type="page"/>
      </w:r>
    </w:p>
    <w:p>
      <w:pPr>
        <w:pStyle w:val="TextBody"/>
        <w:rPr/>
      </w:pPr>
      <w:r>
        <w:rPr/>
      </w:r>
    </w:p>
    <w:p>
      <w:pPr>
        <w:pStyle w:val="Heading1"/>
        <w:numPr>
          <w:ilvl w:val="0"/>
          <w:numId w:val="4"/>
        </w:numPr>
        <w:rPr/>
      </w:pPr>
      <w:r>
        <w:rPr/>
        <w:t>ANEXO I: Formulario de solicitud</w:t>
      </w:r>
    </w:p>
    <w:p>
      <w:pPr>
        <w:pStyle w:val="TextBody"/>
        <w:rPr/>
      </w:pPr>
      <w:r>
        <w:rPr/>
        <w:t xml:space="preserve"> </w:t>
      </w:r>
      <w:r>
        <w:rPr/>
        <w:t>Constará de los siguientes campos:</w:t>
      </w:r>
    </w:p>
    <w:p>
      <w:pPr>
        <w:pStyle w:val="TextBody"/>
        <w:numPr>
          <w:ilvl w:val="0"/>
          <w:numId w:val="7"/>
        </w:numPr>
        <w:rPr/>
      </w:pPr>
      <w:r>
        <w:rPr/>
        <w:t>Nombre del docente</w:t>
      </w:r>
    </w:p>
    <w:p>
      <w:pPr>
        <w:pStyle w:val="TextBody"/>
        <w:numPr>
          <w:ilvl w:val="0"/>
          <w:numId w:val="7"/>
        </w:numPr>
        <w:rPr/>
      </w:pPr>
      <w:r>
        <w:rPr/>
        <w:t>Dirección de correo electrónico corporativa de la URJC</w:t>
      </w:r>
    </w:p>
    <w:p>
      <w:pPr>
        <w:pStyle w:val="TextBody"/>
        <w:numPr>
          <w:ilvl w:val="0"/>
          <w:numId w:val="7"/>
        </w:numPr>
        <w:rPr/>
      </w:pPr>
      <w:r>
        <w:rPr/>
        <w:t>Para cada asignatura que se aporte:</w:t>
      </w:r>
    </w:p>
    <w:p>
      <w:pPr>
        <w:pStyle w:val="TextBody"/>
        <w:numPr>
          <w:ilvl w:val="1"/>
          <w:numId w:val="7"/>
        </w:numPr>
        <w:rPr/>
      </w:pPr>
      <w:r>
        <w:rPr/>
        <w:t>Nombre de la asignatura</w:t>
      </w:r>
    </w:p>
    <w:p>
      <w:pPr>
        <w:pStyle w:val="TextBody"/>
        <w:numPr>
          <w:ilvl w:val="1"/>
          <w:numId w:val="7"/>
        </w:numPr>
        <w:rPr/>
      </w:pPr>
      <w:r>
        <w:rPr/>
        <w:t xml:space="preserve">Titulación </w:t>
      </w:r>
    </w:p>
    <w:p>
      <w:pPr>
        <w:pStyle w:val="TextBody"/>
        <w:numPr>
          <w:ilvl w:val="1"/>
          <w:numId w:val="7"/>
        </w:numPr>
        <w:rPr/>
      </w:pPr>
      <w:r>
        <w:rPr/>
        <w:t xml:space="preserve">Titulaciones y asignaturas que podrían utilizar de forma directa los mismos materiales </w:t>
      </w:r>
    </w:p>
    <w:p>
      <w:pPr>
        <w:pStyle w:val="TextBody"/>
        <w:numPr>
          <w:ilvl w:val="1"/>
          <w:numId w:val="7"/>
        </w:numPr>
        <w:rPr/>
      </w:pPr>
      <w:r>
        <w:rPr/>
        <w:t>Identificador de la asignatura en el Aula Virtual de la URJC (URL directa de la asignatura)</w:t>
      </w:r>
    </w:p>
    <w:p>
      <w:pPr>
        <w:pStyle w:val="TextBody"/>
        <w:numPr>
          <w:ilvl w:val="1"/>
          <w:numId w:val="7"/>
        </w:numPr>
        <w:rPr/>
      </w:pPr>
      <w:r>
        <w:rPr/>
        <w:t>Listado de docentes que han participado en la elaboración de los materiales (direcciones de correo electrónico corporativo de la URJC)</w:t>
      </w:r>
    </w:p>
    <w:p>
      <w:pPr>
        <w:pStyle w:val="TextBody"/>
        <w:numPr>
          <w:ilvl w:val="1"/>
          <w:numId w:val="7"/>
        </w:numPr>
        <w:rPr/>
      </w:pPr>
      <w:r>
        <w:rPr/>
        <w:t>Listado de docentes que imparten la asignatura en el curso 2022/2023 (direcciones de correo electrónico corporativo de la URJC)</w:t>
      </w:r>
    </w:p>
    <w:p>
      <w:pPr>
        <w:pStyle w:val="TextBody"/>
        <w:numPr>
          <w:ilvl w:val="1"/>
          <w:numId w:val="7"/>
        </w:numPr>
        <w:rPr/>
      </w:pPr>
      <w:r>
        <w:rPr/>
        <w:t>Créditos ECTS de la asignatura</w:t>
      </w:r>
    </w:p>
    <w:p>
      <w:pPr>
        <w:pStyle w:val="TextBody"/>
        <w:numPr>
          <w:ilvl w:val="1"/>
          <w:numId w:val="7"/>
        </w:numPr>
        <w:rPr/>
      </w:pPr>
      <w:r>
        <w:rP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pPr>
        <w:pStyle w:val="TextBody"/>
        <w:numPr>
          <w:ilvl w:val="1"/>
          <w:numId w:val="7"/>
        </w:numPr>
        <w:rPr/>
      </w:pPr>
      <w:r>
        <w:rP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r>
        <w:rPr/>
        <w:commentReference w:id="22"/>
      </w:r>
      <w:r>
        <w:rPr/>
        <w:t>.</w:t>
      </w:r>
    </w:p>
    <w:p>
      <w:pPr>
        <w:pStyle w:val="TextBody"/>
        <w:rPr/>
      </w:pPr>
      <w:r>
        <w:rPr/>
        <w:t>Así mismo, incluirá la siguiente información relativa al tratamiento de datos personales:</w:t>
      </w:r>
    </w:p>
    <w:p>
      <w:pPr>
        <w:pStyle w:val="TextBody"/>
        <w:rPr>
          <w:i/>
          <w:i/>
          <w:iCs/>
        </w:rPr>
      </w:pPr>
      <w:r>
        <w:rPr>
          <w:i/>
          <w:iCs/>
        </w:rPr>
        <w:t>“</w:t>
      </w:r>
      <w:r>
        <w:rPr>
          <w:i/>
          <w:iCs/>
        </w:rPr>
        <w:t>En cumplimiento de la normativa sobre protección de datos se le informa de lo siguiente:</w:t>
      </w:r>
    </w:p>
    <w:p>
      <w:pPr>
        <w:pStyle w:val="TextBody"/>
        <w:rPr>
          <w:i/>
          <w:i/>
          <w:iCs/>
        </w:rPr>
      </w:pPr>
      <w:r>
        <w:rPr>
          <w:i/>
          <w:iCs/>
        </w:rPr>
        <w:t>RESPONSABLE DEL TRATAMIENTO: Universidad Rey Juan Carlos</w:t>
      </w:r>
    </w:p>
    <w:p>
      <w:pPr>
        <w:pStyle w:val="TextBody"/>
        <w:rPr>
          <w:i/>
          <w:i/>
          <w:iCs/>
        </w:rPr>
      </w:pPr>
      <w:r>
        <w:rPr>
          <w:i/>
          <w:iCs/>
        </w:rPr>
        <w:t>FINALIDAD: Gestión de la convocatoria de reconocimiento de publicación de asignaturas en abierto.</w:t>
      </w:r>
    </w:p>
    <w:p>
      <w:pPr>
        <w:pStyle w:val="TextBody"/>
        <w:rPr>
          <w:i/>
          <w:i/>
          <w:iCs/>
        </w:rPr>
      </w:pPr>
      <w:r>
        <w:rPr>
          <w:i/>
          <w:iCs/>
        </w:rPr>
        <w:t>EJERCICIO DE DERECHOS: Puede ejercer sus derechos de acceso, rectificación, supresión, limitación del tratamiento, portabilidad, oposición y demás reconocidos por el Reglamento General de Protección de Datos, mediante solicitud dirigida a la la Universidad Rey Juan Carlos, C/ Tulipán s/n, 28933 Móstoles, por registro o en su sede electrónica o contactando con: protecciondedatos@urjc.es</w:t>
      </w:r>
    </w:p>
    <w:p>
      <w:pPr>
        <w:pStyle w:val="TextBody"/>
        <w:rPr>
          <w:i/>
          <w:i/>
          <w:iCs/>
        </w:rPr>
      </w:pPr>
      <w:r>
        <w:rPr>
          <w:i/>
          <w:iCs/>
        </w:rPr>
        <w:t>MÁS INFORMACIÓN EN LA CONVOCATORIA”</w:t>
      </w:r>
    </w:p>
    <w:p>
      <w:pPr>
        <w:pStyle w:val="TextBody"/>
        <w:ind w:left="1080" w:right="0" w:hanging="0"/>
        <w:rPr/>
      </w:pPr>
      <w:r>
        <w:rPr/>
      </w:r>
    </w:p>
    <w:p>
      <w:pPr>
        <w:pStyle w:val="Normal"/>
        <w:rPr/>
      </w:pPr>
      <w:r>
        <w:rPr/>
      </w:r>
      <w:r>
        <w:br w:type="page"/>
      </w:r>
    </w:p>
    <w:p>
      <w:pPr>
        <w:pStyle w:val="TextBody"/>
        <w:rPr/>
      </w:pPr>
      <w:r>
        <w:rPr/>
      </w:r>
    </w:p>
    <w:p>
      <w:pPr>
        <w:pStyle w:val="Heading1"/>
        <w:numPr>
          <w:ilvl w:val="0"/>
          <w:numId w:val="4"/>
        </w:numPr>
        <w:rPr/>
      </w:pPr>
      <w:r>
        <w:rPr/>
        <w:t>ANEXO II: Rúbrica de evaluación</w:t>
      </w:r>
    </w:p>
    <w:p>
      <w:pPr>
        <w:pStyle w:val="TextBody"/>
        <w:rPr/>
      </w:pPr>
      <w:r>
        <w:rPr/>
        <w:t>Cada categoría de material será evaluada con la rúbrica correspondiente, según se indica a continuación para cada una de las categorías del listado</w:t>
      </w:r>
      <w:r>
        <w:rPr/>
        <w:commentReference w:id="23"/>
      </w:r>
      <w:r>
        <w:rPr/>
        <w:t xml:space="preserve">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pPr>
        <w:pStyle w:val="TextBody"/>
        <w:rPr/>
      </w:pPr>
      <w:r>
        <w:rPr/>
        <w:t>La valoración total de la asignatura se realizará mediante la suma aritmética de los valores numéricos asignados, según la rúbrica correspondiente, a las cuatro categorías con valoración más alta.</w:t>
      </w:r>
    </w:p>
    <w:p>
      <w:pPr>
        <w:pStyle w:val="TextBody"/>
        <w:rPr/>
      </w:pPr>
      <w:r>
        <w:rPr/>
        <w:t>Rúbrica para la categoría “guía de la asignatura”:</w:t>
      </w:r>
    </w:p>
    <w:tbl>
      <w:tblPr>
        <w:tblW w:w="5000" w:type="pct"/>
        <w:jc w:val="left"/>
        <w:tblInd w:w="-5" w:type="dxa"/>
        <w:tblLayout w:type="fixed"/>
        <w:tblCellMar>
          <w:top w:w="55" w:type="dxa"/>
          <w:left w:w="55" w:type="dxa"/>
          <w:bottom w:w="55" w:type="dxa"/>
          <w:right w:w="55" w:type="dxa"/>
        </w:tblCellMar>
      </w:tblPr>
      <w:tblGrid>
        <w:gridCol w:w="1926"/>
        <w:gridCol w:w="1929"/>
        <w:gridCol w:w="1926"/>
        <w:gridCol w:w="1929"/>
        <w:gridCol w:w="1928"/>
      </w:tblGrid>
      <w:tr>
        <w:trPr/>
        <w:tc>
          <w:tcPr>
            <w:tcW w:w="192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92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92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2</w:t>
            </w:r>
          </w:p>
        </w:tc>
        <w:tc>
          <w:tcPr>
            <w:tcW w:w="192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928"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4</w:t>
            </w:r>
          </w:p>
        </w:tc>
      </w:tr>
      <w:tr>
        <w:trPr/>
        <w:tc>
          <w:tcPr>
            <w:tcW w:w="192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92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2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además, para cada sesión, el trabajo personal y otras actividades planificadas para los estudiantes</w:t>
            </w:r>
          </w:p>
        </w:tc>
        <w:tc>
          <w:tcPr>
            <w:tcW w:w="1928"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Incluye además otros elementos y detalles que ayuden al seguimiento de la asignatura.</w:t>
            </w:r>
          </w:p>
        </w:tc>
      </w:tr>
    </w:tbl>
    <w:p>
      <w:pPr>
        <w:pStyle w:val="Table"/>
        <w:rPr>
          <w:rStyle w:val="CaptionCharacters"/>
        </w:rPr>
      </w:pPr>
      <w:r>
        <w:rPr/>
      </w:r>
    </w:p>
    <w:p>
      <w:pPr>
        <w:pStyle w:val="TextBody"/>
        <w:rPr/>
      </w:pPr>
      <w:r>
        <w:rPr/>
        <w:t>Rúbrica para las categorías “apuntes” y “presentaciones o transparencias”:</w:t>
      </w:r>
    </w:p>
    <w:tbl>
      <w:tblPr>
        <w:tblW w:w="5000" w:type="pct"/>
        <w:jc w:val="left"/>
        <w:tblInd w:w="-5" w:type="dxa"/>
        <w:tblLayout w:type="fixed"/>
        <w:tblCellMar>
          <w:top w:w="55" w:type="dxa"/>
          <w:left w:w="55" w:type="dxa"/>
          <w:bottom w:w="55" w:type="dxa"/>
          <w:right w:w="55" w:type="dxa"/>
        </w:tblCellMar>
      </w:tblPr>
      <w:tblGrid>
        <w:gridCol w:w="1606"/>
        <w:gridCol w:w="1607"/>
        <w:gridCol w:w="1606"/>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able"/>
        <w:rPr/>
      </w:pPr>
      <w:r>
        <w:rPr/>
      </w:r>
    </w:p>
    <w:p>
      <w:pPr>
        <w:pStyle w:val="TextBody"/>
        <w:rPr/>
      </w:pPr>
      <w:r>
        <w:rPr/>
        <w:t>Rúbrica para las categorías “colecciones de ejercicios, problemas, trabajos o proyectos” y “colecciones de pruebas de evaluación”:</w:t>
      </w:r>
    </w:p>
    <w:tbl>
      <w:tblPr>
        <w:tblW w:w="5000" w:type="pct"/>
        <w:jc w:val="left"/>
        <w:tblInd w:w="-5" w:type="dxa"/>
        <w:tblLayout w:type="fixed"/>
        <w:tblCellMar>
          <w:top w:w="55" w:type="dxa"/>
          <w:left w:w="55" w:type="dxa"/>
          <w:bottom w:w="55" w:type="dxa"/>
          <w:right w:w="55" w:type="dxa"/>
        </w:tblCellMar>
      </w:tblPr>
      <w:tblGrid>
        <w:gridCol w:w="1606"/>
        <w:gridCol w:w="1607"/>
        <w:gridCol w:w="1606"/>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soluciones</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soluciones</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soluciones</w:t>
            </w:r>
          </w:p>
        </w:tc>
        <w:tc>
          <w:tcPr>
            <w:tcW w:w="1607"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extBody"/>
        <w:rPr/>
      </w:pPr>
      <w:r>
        <w:rPr/>
      </w:r>
    </w:p>
    <w:p>
      <w:pPr>
        <w:pStyle w:val="TextBody"/>
        <w:rPr/>
      </w:pPr>
      <w:r>
        <w:rPr/>
        <w:t xml:space="preserve">Rúbrica para la categoría “videos cortos (video-píldoras) </w:t>
      </w:r>
      <w:r>
        <w:rPr/>
        <w:t>y audios (podcast</w:t>
      </w:r>
      <w:r>
        <w:rPr/>
        <w:t>s</w:t>
      </w:r>
      <w:r>
        <w:rPr/>
        <w:t>)</w:t>
      </w:r>
      <w:r>
        <w:rPr/>
        <w:t xml:space="preserve">”. Se considerarán como videos cortos los que son de menos de 10 minutos, </w:t>
      </w:r>
      <w:r>
        <w:rPr/>
        <w:t>como audios los de cualquier duraci</w:t>
      </w:r>
      <w:r>
        <w:rPr>
          <w:sz w:val="22"/>
        </w:rPr>
        <w:t xml:space="preserve">ón, </w:t>
      </w:r>
      <w:r>
        <w:rPr/>
        <w:t xml:space="preserve">y </w:t>
      </w:r>
      <w:r>
        <w:rPr/>
        <w:t xml:space="preserve">en cualquier caso, los </w:t>
      </w:r>
      <w:r>
        <w:rPr/>
        <w:t>que</w:t>
      </w:r>
      <w:r>
        <w:rPr/>
        <w:t xml:space="preserve"> </w:t>
      </w:r>
      <w:r>
        <w:rPr/>
        <w:t>están concebidos para explicar un tema concreto relevante para la asignatura:</w:t>
      </w:r>
    </w:p>
    <w:tbl>
      <w:tblPr>
        <w:tblW w:w="5000" w:type="pct"/>
        <w:jc w:val="left"/>
        <w:tblInd w:w="-5" w:type="dxa"/>
        <w:tblLayout w:type="fixed"/>
        <w:tblCellMar>
          <w:top w:w="55" w:type="dxa"/>
          <w:left w:w="55" w:type="dxa"/>
          <w:bottom w:w="55" w:type="dxa"/>
          <w:right w:w="55" w:type="dxa"/>
        </w:tblCellMar>
      </w:tblPr>
      <w:tblGrid>
        <w:gridCol w:w="1606"/>
        <w:gridCol w:w="1607"/>
        <w:gridCol w:w="1606"/>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un video corto de presentación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 xml:space="preserve">Incluye al menos 5 videos cortos </w:t>
            </w:r>
            <w:r>
              <w:rPr>
                <w:color w:val="000000"/>
                <w:sz w:val="16"/>
                <w:szCs w:val="16"/>
              </w:rPr>
              <w:t>o audios</w:t>
            </w:r>
            <w:r>
              <w:rPr>
                <w:color w:val="000000"/>
                <w:sz w:val="16"/>
                <w:szCs w:val="16"/>
              </w:rPr>
              <w:t xml:space="preserve"> de temas diferentes de la asignatura, o videos de otros tamaños que cubran al menos el 50%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 xml:space="preserve">Incluye al menos 12 videos cortos </w:t>
            </w:r>
            <w:r>
              <w:rPr>
                <w:color w:val="000000"/>
                <w:sz w:val="16"/>
                <w:szCs w:val="16"/>
              </w:rPr>
              <w:t>o audios</w:t>
            </w:r>
            <w:r>
              <w:rPr>
                <w:color w:val="000000"/>
                <w:sz w:val="16"/>
                <w:szCs w:val="16"/>
              </w:rPr>
              <w:t>, cubriendo temas de al menos el 50% del temario de la asignatura, o videos de otros tamaños que cubran al menos el 90%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 xml:space="preserve">Incluye al menos 20 videos cortos </w:t>
            </w:r>
            <w:r>
              <w:rPr>
                <w:color w:val="000000"/>
                <w:sz w:val="16"/>
                <w:szCs w:val="16"/>
              </w:rPr>
              <w:t>o audios</w:t>
            </w:r>
            <w:r>
              <w:rPr>
                <w:color w:val="000000"/>
                <w:sz w:val="16"/>
                <w:szCs w:val="16"/>
              </w:rPr>
              <w:t>, cubriendo temas de al menos el 90% del temario de la asignatura</w:t>
            </w:r>
          </w:p>
        </w:tc>
        <w:tc>
          <w:tcPr>
            <w:tcW w:w="1607"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extBody"/>
        <w:rPr>
          <w:sz w:val="18"/>
          <w:szCs w:val="18"/>
        </w:rPr>
      </w:pPr>
      <w:r>
        <w:rPr>
          <w:sz w:val="18"/>
          <w:szCs w:val="18"/>
        </w:rPr>
      </w:r>
    </w:p>
    <w:p>
      <w:pPr>
        <w:pStyle w:val="TextBody"/>
        <w:rPr/>
      </w:pPr>
      <w:r>
        <w:rPr/>
        <w:t>Rúbrica para la categoría “otros materiales”. Por las características de esta categoría, la rúbrica se ofrece de forma orientativa, pues se tendrán en cuenta las peculiaridades de los materiales presentados.</w:t>
      </w:r>
    </w:p>
    <w:tbl>
      <w:tblPr>
        <w:tblW w:w="5000" w:type="pct"/>
        <w:jc w:val="left"/>
        <w:tblInd w:w="-5" w:type="dxa"/>
        <w:tblLayout w:type="fixed"/>
        <w:tblCellMar>
          <w:top w:w="55" w:type="dxa"/>
          <w:left w:w="55" w:type="dxa"/>
          <w:bottom w:w="55" w:type="dxa"/>
          <w:right w:w="55" w:type="dxa"/>
        </w:tblCellMar>
      </w:tblPr>
      <w:tblGrid>
        <w:gridCol w:w="1606"/>
        <w:gridCol w:w="1607"/>
        <w:gridCol w:w="1606"/>
        <w:gridCol w:w="1606"/>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able"/>
        <w:jc w:val="both"/>
        <w:rPr>
          <w:rFonts w:ascii="Calibri" w:hAnsi="Calibri" w:eastAsia="Calibri" w:cs="Calibri"/>
        </w:rPr>
      </w:pPr>
      <w:r>
        <w:rPr>
          <w:rFonts w:eastAsia="Calibri" w:cs="Calibri" w:ascii="Calibri" w:hAnsi="Calibri"/>
        </w:rPr>
      </w:r>
    </w:p>
    <w:p>
      <w:pPr>
        <w:pStyle w:val="Normal"/>
        <w:widowControl w:val="false"/>
        <w:suppressAutoHyphens w:val="false"/>
        <w:jc w:val="center"/>
        <w:rPr/>
      </w:pPr>
      <w:r>
        <w:rPr/>
      </w:r>
    </w:p>
    <w:sectPr>
      <w:headerReference w:type="default" r:id="rId5"/>
      <w:footnotePr>
        <w:numFmt w:val="decimal"/>
      </w:footnotePr>
      <w:type w:val="nextPage"/>
      <w:pgSz w:w="11906" w:h="16838"/>
      <w:pgMar w:left="1134" w:right="1134" w:gutter="0" w:header="1134" w:top="1693" w:footer="0" w:bottom="1134"/>
      <w:pgNumType w:fmt="decimal"/>
      <w:formProt w:val="false"/>
      <w:textDirection w:val="lrTb"/>
      <w:docGrid w:type="default" w:linePitch="600" w:charSpace="4505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esus Gonzalez-Barahona" w:date="2022-05-24T09:24:00Z" w:initials="">
    <w:p>
      <w:r>
        <w:rPr>
          <w:rFonts w:eastAsia="DejaVu Sans" w:cs="DejaVu Sans"/>
          <w:kern w:val="0"/>
          <w:sz w:val="20"/>
          <w:lang w:val="en-US" w:eastAsia="en-US" w:bidi="en-US"/>
        </w:rPr>
        <w:t>Se añade “en la elaboración de materiales publicados durante el curso...”, dado que el esfuerzo puede ser anterior al curso, pero siempre será por materiales publicados durante el curso.</w:t>
      </w:r>
    </w:p>
  </w:comment>
  <w:comment w:id="1" w:author="Jesus Gonzalez-Barahona" w:date="2022-05-24T09:38:00Z" w:initials="">
    <w:p>
      <w:r>
        <w:rPr>
          <w:rFonts w:eastAsia="DejaVu Sans" w:cs="DejaVu Sans"/>
          <w:kern w:val="0"/>
          <w:sz w:val="20"/>
          <w:lang w:val="en-US" w:eastAsia="en-US" w:bidi="en-US"/>
        </w:rPr>
        <w:t>Añadido para dejar claro que se pueden presentar todo el Personal Docente.</w:t>
      </w:r>
    </w:p>
  </w:comment>
  <w:comment w:id="2" w:author="Jesus Gonzalez-Barahona" w:date="2022-05-24T09:41:00Z" w:initials="">
    <w:p>
      <w:r>
        <w:rPr>
          <w:rFonts w:eastAsia="DejaVu Sans" w:cs="DejaVu Sans"/>
          <w:kern w:val="0"/>
          <w:sz w:val="20"/>
          <w:lang w:val="en-US" w:eastAsia="en-US" w:bidi="en-US"/>
        </w:rPr>
        <w:t>Redacción un poco diferente de la propuesta, para dejar claro que los materiales se depositan en los repositorios en abierto, y se enlazan desde el aula virtual.</w:t>
      </w:r>
    </w:p>
  </w:comment>
  <w:comment w:id="3" w:author="Jesus Gonzalez-Barahona" w:date="2022-05-25T21:17:00Z" w:initials="">
    <w:p w14:paraId="01000000">
      <w:r>
        <w:rPr>
          <w:rFonts w:eastAsia="DejaVu Sans" w:cs="DejaVu Sans"/>
          <w:kern w:val="0"/>
          <w:sz w:val="20"/>
          <w:lang w:val="en-US" w:eastAsia="en-US" w:bidi="en-US"/>
        </w:rPr>
        <w:t>Se trata de clarificar lo que se valora en la convocatoria, y cómo acceder a los criterios detallados de evaluación</w:t>
      </w:r>
    </w:p>
  </w:comment>
  <w:comment w:id="4" w:author="Jesus Gonzalez-Barahona" w:date="2022-05-24T09:46:00Z" w:initials="">
    <w:p>
      <w:r>
        <w:rPr>
          <w:rFonts w:eastAsia="DejaVu Sans" w:cs="DejaVu Sans"/>
          <w:kern w:val="0"/>
          <w:sz w:val="20"/>
          <w:lang w:val="en-US" w:eastAsia="en-US" w:bidi="en-US"/>
        </w:rPr>
        <w:t>Esta categoría de “otros materiales” está incluida para permitir la inclusión de materiales “atípicos” en las asignaturas que los utilicen, a propuesta de varios miembros de Consejo de Publicación Abierta. Precisamente como son atípicos, es difícil caracterizarlo, por lo que hemos optado por poner dos ejemplos que se comentaron en dicho Consejo.</w:t>
      </w:r>
    </w:p>
  </w:comment>
  <w:comment w:id="5" w:author="Jesus Gonzalez-Barahona" w:date="2022-05-24T09:51:00Z" w:initials="">
    <w:p>
      <w:r>
        <w:rPr>
          <w:rFonts w:eastAsia="DejaVu Sans" w:cs="DejaVu Sans"/>
          <w:kern w:val="0"/>
          <w:sz w:val="20"/>
          <w:lang w:val="en-US" w:eastAsia="en-US" w:bidi="en-US"/>
        </w:rPr>
        <w:t>Añadido para clarificar cómo se han de depositar los documentos.</w:t>
      </w:r>
    </w:p>
  </w:comment>
  <w:comment w:id="6" w:author="Jesus Gonzalez-Barahona" w:date="2022-06-08T10:48:00Z" w:initials="">
    <w:p>
      <w:r>
        <w:rPr>
          <w:rFonts w:eastAsia="DejaVu Sans" w:cs="DejaVu Sans"/>
          <w:kern w:val="0"/>
          <w:sz w:val="20"/>
          <w:lang w:val="en-US" w:eastAsia="en-US" w:bidi="en-US"/>
        </w:rPr>
        <w:t>Se indica ahora cómo se clasifica cada asignatura en las tres categorías que tenemos. Más adelante, se indican también baremos más concretos para la clasificación. Ambos cambios, según consejo de la asesoría jurídica</w:t>
      </w:r>
    </w:p>
  </w:comment>
  <w:comment w:id="7" w:author="Jesus Gonzalez-Barahona" w:date="2022-05-24T10:02:00Z" w:initials="">
    <w:p>
      <w:r>
        <w:rPr>
          <w:rFonts w:eastAsia="DejaVu Sans" w:cs="DejaVu Sans"/>
          <w:kern w:val="0"/>
          <w:sz w:val="20"/>
          <w:lang w:val="en-US" w:eastAsia="en-US" w:bidi="en-US"/>
        </w:rPr>
        <w:t>Nueva redacción, siguiendo las indicaciones (gracias por al redacción propuesta, es más clara que la que proponíamos).</w:t>
      </w:r>
    </w:p>
    <w:p>
      <w:r>
        <w:rPr>
          <w:rFonts w:eastAsia="DejaVu Sans" w:cs="DejaVu Sans"/>
          <w:kern w:val="0"/>
          <w:sz w:val="24"/>
          <w:lang w:val="en-US" w:eastAsia="en-US" w:bidi="en-US"/>
        </w:rPr>
      </w:r>
    </w:p>
    <w:p>
      <w:r>
        <w:rPr>
          <w:rFonts w:eastAsia="DejaVu Sans" w:cs="DejaVu Sans"/>
          <w:kern w:val="0"/>
          <w:sz w:val="20"/>
          <w:lang w:val="en-US" w:eastAsia="en-US" w:bidi="en-US"/>
        </w:rPr>
        <w:t>Propuesta alternativa a considerar: sólo son beneficiarios los que impartan la asignatura y sean autores de al menos uno de los materiales que ha conseguido baremación X (dado que tenemos un nivel de baremación para los materiales que cumplen los mínimos especificados anteriormente).</w:t>
      </w:r>
    </w:p>
  </w:comment>
  <w:comment w:id="8" w:author="Jesus Gonzalez-Barahona" w:date="2022-05-24T10:06:00Z" w:initials="">
    <w:p>
      <w:r>
        <w:rPr>
          <w:rFonts w:eastAsia="DejaVu Sans" w:cs="DejaVu Sans"/>
          <w:kern w:val="0"/>
          <w:sz w:val="20"/>
          <w:lang w:val="en-US" w:eastAsia="en-US" w:bidi="en-US"/>
        </w:rPr>
        <w:t>Hay un comentario: Es necesario especificar la partida presupuestaria completa y el ejercicio económico al que se aplicará. ¿Es adecuado de esta forma? (el ejercicio está incluido unas líneas más abajo)</w:t>
      </w:r>
    </w:p>
  </w:comment>
  <w:comment w:id="9" w:author="Jesus Gonzalez-Barahona" w:date="2022-05-24T10:10:00Z" w:initials="">
    <w:p>
      <w:r>
        <w:rPr>
          <w:rFonts w:eastAsia="DejaVu Sans" w:cs="DejaVu Sans"/>
          <w:kern w:val="0"/>
          <w:sz w:val="20"/>
          <w:lang w:val="en-US" w:eastAsia="en-US" w:bidi="en-US"/>
        </w:rPr>
        <w:t>Añadido este detalle según se sugiere.</w:t>
      </w:r>
    </w:p>
    <w:p>
      <w:r>
        <w:rPr>
          <w:rFonts w:eastAsia="DejaVu Sans" w:cs="DejaVu Sans"/>
          <w:kern w:val="0"/>
          <w:sz w:val="24"/>
          <w:lang w:val="en-US" w:eastAsia="en-US" w:bidi="en-US"/>
        </w:rPr>
      </w:r>
    </w:p>
    <w:p>
      <w:r>
        <w:rPr>
          <w:rFonts w:eastAsia="DejaVu Sans" w:cs="DejaVu Sans"/>
          <w:kern w:val="0"/>
          <w:sz w:val="20"/>
          <w:lang w:val="en-US" w:eastAsia="en-US" w:bidi="en-US"/>
        </w:rPr>
        <w:t>¿Con quién hay que comprobar que esta forma de pago es apropiada?</w:t>
      </w:r>
    </w:p>
  </w:comment>
  <w:comment w:id="10" w:author="Jesus Gonzalez-Barahona" w:date="2022-05-24T13:19:00Z" w:initials="">
    <w:p>
      <w:r>
        <w:rPr>
          <w:rFonts w:eastAsia="DejaVu Sans" w:cs="DejaVu Sans"/>
          <w:kern w:val="0"/>
          <w:sz w:val="20"/>
          <w:lang w:val="en-US" w:eastAsia="en-US" w:bidi="en-US"/>
        </w:rPr>
        <w:t>Añadida regla de inhibición, para dejar más claro el funcionamiento colegiado.</w:t>
      </w:r>
    </w:p>
  </w:comment>
  <w:comment w:id="11" w:author="Jesus Gonzalez-Barahona" w:date="2022-05-24T12:55:00Z" w:initials="">
    <w:p>
      <w:r>
        <w:rPr>
          <w:rFonts w:eastAsia="DejaVu Sans" w:cs="DejaVu Sans"/>
          <w:kern w:val="0"/>
          <w:sz w:val="20"/>
          <w:lang w:val="en-US" w:eastAsia="en-US" w:bidi="en-US"/>
        </w:rPr>
        <w:t>Añadido para aclarar qué clasificación se refiere.</w:t>
      </w:r>
    </w:p>
  </w:comment>
  <w:comment w:id="12" w:author="Jesus Gonzalez-Barahona" w:date="2022-05-24T13:12:00Z" w:initials="">
    <w:p>
      <w:r>
        <w:rPr>
          <w:rFonts w:eastAsia="DejaVu Sans" w:cs="DejaVu Sans"/>
          <w:kern w:val="0"/>
          <w:sz w:val="20"/>
          <w:lang w:val="en-US" w:eastAsia="en-US" w:bidi="en-US"/>
        </w:rPr>
        <w:t>Se clarifica “publicación en acceso abierto” como competencia,y se especifica que actuará como presidente.</w:t>
      </w:r>
    </w:p>
  </w:comment>
  <w:comment w:id="13" w:author="Jesus Gonzalez-Barahona" w:date="2022-05-24T13:14:00Z" w:initials="">
    <w:p>
      <w:r>
        <w:rPr>
          <w:rFonts w:eastAsia="DejaVu Sans" w:cs="DejaVu Sans"/>
          <w:kern w:val="0"/>
          <w:sz w:val="20"/>
          <w:lang w:val="en-US" w:eastAsia="en-US" w:bidi="en-US"/>
        </w:rPr>
        <w:t>Añadido para especificar el régimen de funcionamiento. En el comentario que menciona que habría que indicar suplentes, se dice en todos los casos “persona en quien delegue”, especificando delegación explícita como forma de suplencia.</w:t>
      </w:r>
    </w:p>
  </w:comment>
  <w:comment w:id="14" w:author="Jesus Gonzalez-Barahona" w:date="2022-05-24T13:43:00Z" w:initials="">
    <w:p>
      <w:r>
        <w:rPr>
          <w:rFonts w:eastAsia="DejaVu Sans" w:cs="DejaVu Sans"/>
          <w:kern w:val="0"/>
          <w:sz w:val="20"/>
          <w:lang w:val="en-US" w:eastAsia="en-US" w:bidi="en-US"/>
        </w:rPr>
        <w:t>Especificación del mecanismo de entrega de la solicitud (formulario enlazado desde la Guía de la convocatoria)</w:t>
      </w:r>
    </w:p>
  </w:comment>
  <w:comment w:id="15" w:author="Jesus Gonzalez-Barahona" w:date="2022-05-24T13:41:00Z" w:initials="">
    <w:p>
      <w:r>
        <w:rPr>
          <w:rFonts w:eastAsia="DejaVu Sans" w:cs="DejaVu Sans"/>
          <w:kern w:val="0"/>
          <w:sz w:val="20"/>
          <w:lang w:val="en-US" w:eastAsia="en-US" w:bidi="en-US"/>
        </w:rPr>
        <w:t>Añadido según comentario. El texto de la declaración responsable puede ir en el propio formulario. Se indica expresamente en el anexo correspondiente. Se estima que sólo hace falta la declaración responsable indicando el permiso de todos los docentes de la asignatura para presentarla, y de los que declaran su autoría con respecto a que tienen los derechos correspondientes para publicar en abierto, pues los derechos específicos de cada material habrán sido comprobados (y en su caso acreditados) cuando se hayan depositado en el correspondiente archivo abierto.</w:t>
      </w:r>
    </w:p>
  </w:comment>
  <w:comment w:id="16" w:author="Jesus Gonzalez-Barahona" w:date="2022-06-08T20:17:00Z" w:initials="">
    <w:p>
      <w:r>
        <w:rPr>
          <w:rFonts w:eastAsia="DejaVu Sans" w:cs="DejaVu Sans"/>
          <w:kern w:val="0"/>
          <w:sz w:val="20"/>
          <w:lang w:val="en-US" w:eastAsia="en-US" w:bidi="en-US"/>
        </w:rPr>
        <w:t>Añadido por sugerencia de la Delegada de Protección de Datos</w:t>
      </w:r>
    </w:p>
  </w:comment>
  <w:comment w:id="17" w:author="Jesus Gonzalez-Barahona" w:date="2022-05-24T13:47:00Z" w:initials="">
    <w:p>
      <w:r>
        <w:rPr>
          <w:rFonts w:eastAsia="DejaVu Sans" w:cs="DejaVu Sans"/>
          <w:kern w:val="0"/>
          <w:sz w:val="20"/>
          <w:lang w:val="en-US" w:eastAsia="en-US" w:bidi="en-US"/>
        </w:rPr>
        <w:t>Se especifica cómo se hace efectiva la solicitud.</w:t>
      </w:r>
    </w:p>
  </w:comment>
  <w:comment w:id="18" w:author="Jesus Gonzalez-Barahona" w:date="2022-06-08T20:18:00Z" w:initials="">
    <w:p>
      <w:r>
        <w:rPr>
          <w:rFonts w:eastAsia="DejaVu Sans" w:cs="DejaVu Sans"/>
          <w:kern w:val="0"/>
          <w:sz w:val="20"/>
          <w:lang w:val="en-US" w:eastAsia="en-US" w:bidi="en-US"/>
        </w:rPr>
        <w:t>Modificado por sugerencia de la Delegada de Protección de datos.</w:t>
      </w:r>
    </w:p>
  </w:comment>
  <w:comment w:id="19" w:author="Jesus Gonzalez-Barahona" w:date="2022-05-24T13:58:00Z" w:initials="">
    <w:p>
      <w:r>
        <w:rPr>
          <w:rFonts w:eastAsia="DejaVu Sans" w:cs="DejaVu Sans"/>
          <w:kern w:val="0"/>
          <w:sz w:val="20"/>
          <w:lang w:val="en-US" w:eastAsia="en-US" w:bidi="en-US"/>
        </w:rPr>
        <w:t>Se especifica que se puede reclamar también la evaluación realizada.</w:t>
      </w:r>
    </w:p>
  </w:comment>
  <w:comment w:id="20" w:author="Jesus Gonzalez-Barahona" w:date="2022-06-08T20:18:00Z" w:initials="">
    <w:p>
      <w:r>
        <w:rPr>
          <w:rFonts w:eastAsia="DejaVu Sans" w:cs="DejaVu Sans"/>
          <w:kern w:val="0"/>
          <w:sz w:val="20"/>
          <w:lang w:val="en-US" w:eastAsia="en-US" w:bidi="en-US"/>
        </w:rPr>
        <w:t>Texto modificado por sugerencia de la Delegada de Protección de Datos (toda la sección)</w:t>
      </w:r>
    </w:p>
  </w:comment>
  <w:comment w:id="21" w:author="Jesus Gonzalez-Barahona" w:date="2022-05-24T14:01:00Z" w:initials="">
    <w:p>
      <w:r>
        <w:rPr>
          <w:rFonts w:eastAsia="DejaVu Sans" w:cs="DejaVu Sans"/>
          <w:kern w:val="0"/>
          <w:sz w:val="20"/>
          <w:lang w:val="en-US" w:eastAsia="en-US" w:bidi="en-US"/>
        </w:rPr>
        <w:t>Hay un comentario que dice: “Quién aprueba y firma la presente convocatoria? Es necesario especificarlo en el encabezamiento de la resolución e introducir un pie de firma al efecto, acreditando la competencia para ello.”</w:t>
      </w:r>
    </w:p>
    <w:p>
      <w:r>
        <w:rPr>
          <w:rFonts w:eastAsia="DejaVu Sans" w:cs="DejaVu Sans"/>
          <w:kern w:val="0"/>
          <w:sz w:val="24"/>
          <w:lang w:val="en-US" w:eastAsia="en-US" w:bidi="en-US"/>
        </w:rPr>
      </w:r>
    </w:p>
    <w:p>
      <w:r>
        <w:rPr>
          <w:rFonts w:eastAsia="DejaVu Sans" w:cs="DejaVu Sans"/>
          <w:kern w:val="0"/>
          <w:sz w:val="20"/>
          <w:lang w:val="en-US" w:eastAsia="en-US" w:bidi="en-US"/>
        </w:rPr>
        <w:t xml:space="preserve">Ahora el encabezado indica que es resolución del Rector. ¿Tenéis algún pie de firma de ese estilo, que incluya la acreditación para la firma que se pide? </w:t>
      </w:r>
    </w:p>
  </w:comment>
  <w:comment w:id="22" w:author="Jesus Gonzalez-Barahona" w:date="2022-05-24T16:58:00Z" w:initials="">
    <w:p>
      <w:r>
        <w:rPr>
          <w:rFonts w:eastAsia="DejaVu Sans" w:cs="DejaVu Sans"/>
          <w:kern w:val="0"/>
          <w:sz w:val="20"/>
          <w:lang w:val="en-US" w:eastAsia="en-US" w:bidi="en-US"/>
        </w:rPr>
        <w:t>Ver comentario sobre declaración responsable, en la parte dispositiva.</w:t>
      </w:r>
    </w:p>
  </w:comment>
  <w:comment w:id="23" w:author="Jesus Gonzalez-Barahona" w:date="2022-05-25T21:23:00Z" w:initials="">
    <w:p>
      <w:r>
        <w:rPr>
          <w:rFonts w:eastAsia="DejaVu Sans" w:cs="DejaVu Sans"/>
          <w:kern w:val="0"/>
          <w:sz w:val="20"/>
          <w:lang w:val="en-US" w:eastAsia="en-US" w:bidi="en-US"/>
        </w:rPr>
        <w:t>Se ha detallado cómo se realiza la valoración de una asignatura, se han asignado valores numéricos a los items de calificación en las rúbricas, y se han detallado y uniformizado las  rúbricas, siguiendo las recomendaciones recibidas</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5">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6">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qFormat/>
    <w:pPr>
      <w:numPr>
        <w:ilvl w:val="0"/>
        <w:numId w:val="4"/>
      </w:numPr>
      <w:outlineLvl w:val="0"/>
    </w:pPr>
    <w:rPr>
      <w:b/>
      <w:bCs/>
      <w:sz w:val="36"/>
      <w:szCs w:val="36"/>
    </w:rPr>
  </w:style>
  <w:style w:type="paragraph" w:styleId="Heading2">
    <w:name w:val="Heading 2"/>
    <w:basedOn w:val="Heading"/>
    <w:next w:val="TextBody"/>
    <w:qFormat/>
    <w:pPr>
      <w:numPr>
        <w:ilvl w:val="1"/>
        <w:numId w:val="2"/>
      </w:numPr>
      <w:spacing w:before="200" w:after="120"/>
      <w:outlineLvl w:val="1"/>
    </w:pPr>
    <w:rPr>
      <w:b/>
      <w:bCs/>
      <w:sz w:val="32"/>
      <w:szCs w:val="32"/>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character" w:styleId="CaptionCharacters">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cs="Mangal" w:ascii="Liberation Serif" w:hAnsi="Liberation Serif" w:eastAsia="AR PL KaitiM GB"/>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jc w:val="center"/>
    </w:pPr>
    <w:rPr>
      <w:b/>
      <w:bCs/>
    </w:rPr>
  </w:style>
  <w:style w:type="paragraph" w:styleId="Table">
    <w:name w:val="Table"/>
    <w:basedOn w:val="Caption1"/>
    <w:qFormat/>
    <w:pPr/>
    <w:rPr/>
  </w:style>
  <w:style w:type="numbering" w:styleId="NoList">
    <w:name w:val="No List"/>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ofilibre@urjc.es"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docProps/app.xml><?xml version="1.0" encoding="utf-8"?>
<Properties xmlns="http://schemas.openxmlformats.org/officeDocument/2006/extended-properties" xmlns:vt="http://schemas.openxmlformats.org/officeDocument/2006/docPropsVTypes">
  <Template>Normal.dotm</Template>
  <TotalTime>61</TotalTime>
  <Application>LibreOffice/7.3.4.1$Linux_X86_64 LibreOffice_project/30$Build-1</Application>
  <AppVersion>15.0000</AppVersion>
  <Pages>11</Pages>
  <Words>5263</Words>
  <Characters>29155</Characters>
  <CharactersWithSpaces>34226</CharactersWithSpaces>
  <Paragraphs>191</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2022-06-09T10:26:00Z</dcterms:created>
  <dc:creator>Jesus Gonzalez-Barahona</dc:creator>
  <dc:description/>
  <dc:language>es-ES</dc:language>
  <cp:lastModifiedBy>Jesus Gonzalez-Barahona</cp:lastModifiedBy>
  <dcterms:modified xsi:type="dcterms:W3CDTF">2022-06-13T13:36:45Z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