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hanging="709"/>
        <w:rPr/>
      </w:pPr>
      <w:r>
        <w:rPr/>
        <w:t>Versión: 1.</w:t>
      </w:r>
      <w:r>
        <w:rPr/>
        <w:t>1</w:t>
      </w:r>
      <w:r>
        <w:rPr/>
        <w:t>, 1</w:t>
      </w:r>
      <w:r>
        <w:rPr/>
        <w:t>0</w:t>
      </w:r>
      <w:r>
        <w:rPr/>
        <w:t xml:space="preserve"> de </w:t>
      </w:r>
      <w:r>
        <w:rPr/>
        <w:t>mayo</w:t>
      </w:r>
      <w:r>
        <w:rPr/>
        <w:t>.</w:t>
      </w:r>
    </w:p>
    <w:p>
      <w:pPr>
        <w:pStyle w:val="TextBody"/>
        <w:ind w:left="709" w:hanging="709"/>
        <w:rPr/>
      </w:pPr>
      <w:r>
        <w:rPr/>
      </w:r>
    </w:p>
    <w:p>
      <w:pPr>
        <w:pStyle w:val="TextBody"/>
        <w:ind w:left="709" w:hanging="709"/>
        <w:rPr/>
      </w:pPr>
      <w:r>
        <w:rPr/>
        <w:drawing>
          <wp:anchor behindDoc="0" distT="0" distB="0" distL="0" distR="0" simplePos="0" locked="0" layoutInCell="0" allowOverlap="1" relativeHeight="2">
            <wp:simplePos x="0" y="0"/>
            <wp:positionH relativeFrom="column">
              <wp:posOffset>17145</wp:posOffset>
            </wp:positionH>
            <wp:positionV relativeFrom="paragraph">
              <wp:posOffset>-5715</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2722245</wp:posOffset>
            </wp:positionH>
            <wp:positionV relativeFrom="paragraph">
              <wp:posOffset>-10160</wp:posOffset>
            </wp:positionV>
            <wp:extent cx="1689100" cy="95059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89100" cy="950595"/>
                    </a:xfrm>
                    <a:prstGeom prst="rect">
                      <a:avLst/>
                    </a:prstGeom>
                  </pic:spPr>
                </pic:pic>
              </a:graphicData>
            </a:graphic>
          </wp:anchor>
        </w:drawing>
      </w:r>
    </w:p>
    <w:p>
      <w:pPr>
        <w:pStyle w:val="Title"/>
        <w:jc w:val="left"/>
        <w:rPr>
          <w:sz w:val="40"/>
          <w:szCs w:val="40"/>
        </w:rPr>
      </w:pPr>
      <w:r>
        <w:rPr/>
      </w:r>
    </w:p>
    <w:p>
      <w:pPr>
        <w:pStyle w:val="Title"/>
        <w:jc w:val="left"/>
        <w:rPr>
          <w:sz w:val="40"/>
          <w:szCs w:val="40"/>
        </w:rPr>
      </w:pPr>
      <w:r>
        <w:rPr/>
      </w:r>
    </w:p>
    <w:p>
      <w:pPr>
        <w:pStyle w:val="Title"/>
        <w:jc w:val="left"/>
        <w:rPr/>
      </w:pPr>
      <w:r>
        <w:rPr>
          <w:sz w:val="40"/>
          <w:szCs w:val="40"/>
        </w:rPr>
        <w:t>Convocatoria: Reconocimiento de publicación de asignaturas en acceso abierto 2022-2023</w:t>
      </w:r>
    </w:p>
    <w:p>
      <w:pPr>
        <w:pStyle w:val="Normal"/>
        <w:rPr/>
      </w:pPr>
      <w:r>
        <w:rPr/>
      </w:r>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themeColor="text1"/>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themeColor="text1"/>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themeColor="text1"/>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Normal"/>
        <w:rPr>
          <w:lang w:eastAsia="es-ES"/>
        </w:rPr>
      </w:pPr>
      <w:r>
        <w:rPr>
          <w:lang w:eastAsia="es-ES"/>
        </w:rPr>
      </w:r>
    </w:p>
    <w:p>
      <w:pPr>
        <w:pStyle w:val="Heading1"/>
        <w:numPr>
          <w:ilvl w:val="0"/>
          <w:numId w:val="1"/>
        </w:numPr>
        <w:rPr/>
      </w:pPr>
      <w:r>
        <w:rPr/>
        <w:t>1. Objeto de la convocatoria</w:t>
      </w:r>
    </w:p>
    <w:p>
      <w:pPr>
        <w:pStyle w:val="Normal"/>
        <w:jc w:val="both"/>
        <w:rPr/>
      </w:pPr>
      <w:r>
        <w:rPr/>
      </w:r>
    </w:p>
    <w:p>
      <w:pPr>
        <w:pStyle w:val="Normal"/>
        <w:jc w:val="both"/>
        <w:rPr/>
      </w:pPr>
      <w:r>
        <w:rPr/>
        <w:t>La convocatoria se enmarca dentro las acciones del proyecto colaborativo RED (</w:t>
      </w:r>
      <w:r>
        <w:rPr>
          <w:lang w:eastAsia="es-ES"/>
        </w:rPr>
        <w:t>Recursos educativos digitales: calidad y compartición en abierto)</w:t>
      </w:r>
      <w:r>
        <w:rPr/>
        <w:t>, financiado en el marco del Plan UniDigital del Ministerio de Universidades.</w:t>
      </w:r>
    </w:p>
    <w:p>
      <w:pPr>
        <w:pStyle w:val="Normal"/>
        <w:jc w:val="both"/>
        <w:rPr/>
      </w:pPr>
      <w:r>
        <w:rPr/>
      </w:r>
    </w:p>
    <w:p>
      <w:pPr>
        <w:pStyle w:val="TextBody"/>
        <w:rPr/>
      </w:pPr>
      <w:r>
        <w:rPr/>
        <w:t xml:space="preserve">En concreto, la convocatoria pretende promover el trabajo del personal docente </w:t>
      </w:r>
      <w:r>
        <w:rPr>
          <w:color w:val="000000"/>
        </w:rPr>
        <w:t>d</w:t>
      </w:r>
      <w:r>
        <w:rPr/>
        <w:t>e la URJC para que publiquen sus materiales en asignaturas en acceso abierto. Esta convocatoria define, más adelante, qué asignaturas se pueden considerar, qué condiciones formales deben cumplir sus materiales, cómo deben ser publicados y utilizad</w:t>
      </w:r>
      <w:r>
        <w:rPr>
          <w:color w:val="000000"/>
        </w:rPr>
        <w:t>os en esas asignatura</w:t>
      </w:r>
      <w:r>
        <w:rPr/>
        <w:t>s, y cómo se realizará el reconocimiento a sus autores. Todas las condic</w:t>
      </w:r>
      <w:r>
        <w:rPr>
          <w:color w:val="000000"/>
        </w:rPr>
        <w:t xml:space="preserve">iones deben cumplirse en el </w:t>
      </w:r>
      <w:r>
        <w:rPr/>
        <w:t xml:space="preserve">momento de presentación de la solicitud a esta convocatoria. </w:t>
      </w:r>
    </w:p>
    <w:p>
      <w:pPr>
        <w:pStyle w:val="Heading1"/>
        <w:numPr>
          <w:ilvl w:val="0"/>
          <w:numId w:val="1"/>
        </w:numPr>
        <w:rPr/>
      </w:pPr>
      <w:r>
        <w:rPr/>
        <w:t>2. Asignaturas</w:t>
      </w:r>
    </w:p>
    <w:p>
      <w:pPr>
        <w:pStyle w:val="Normal"/>
        <w:jc w:val="both"/>
        <w:rPr/>
      </w:pPr>
      <w:r>
        <w:rPr/>
      </w:r>
    </w:p>
    <w:p>
      <w:pPr>
        <w:pStyle w:val="TextBody"/>
        <w:rPr/>
      </w:pPr>
      <w:r>
        <w:rPr>
          <w:color w:val="000000"/>
        </w:rPr>
        <w:t>Las asignaturas presentadas a esta convocatoria deben tener sus materiales en Aula Virtual enlazados a repositorios en abierto de la Universidad, y cumplir las siguientes características:</w:t>
      </w:r>
      <w:r>
        <w:rPr/>
        <w:t xml:space="preserve"> </w:t>
      </w:r>
    </w:p>
    <w:p>
      <w:pPr>
        <w:pStyle w:val="TextBody"/>
        <w:numPr>
          <w:ilvl w:val="0"/>
          <w:numId w:val="3"/>
        </w:numPr>
        <w:rPr/>
      </w:pPr>
      <w:r>
        <w:rPr/>
        <w:t xml:space="preserve">La asignatura debe ser de docencia oficial en un grado o máster universitario de la Universidad Rey Juan Carlos durante el curso 2022-2023. </w:t>
      </w:r>
    </w:p>
    <w:p>
      <w:pPr>
        <w:pStyle w:val="TextBody"/>
        <w:numPr>
          <w:ilvl w:val="0"/>
          <w:numId w:val="3"/>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 xml:space="preserve">La valoración de la asignatura dentro de esta convocatoria se realizará en función del número de grupos donde se puedan utilizar exactamente los mismos materiales docentes, y del número y tipo de materiales docentes publicados en acceso abierto según se indica a continuación. En concreto, se valorarán las siguientes tipologías de materiales, siguiendo la rúbrica de evaluación indicada en el Anexo II: </w:t>
      </w:r>
    </w:p>
    <w:p>
      <w:pPr>
        <w:pStyle w:val="TextBody"/>
        <w:numPr>
          <w:ilvl w:val="1"/>
          <w:numId w:val="3"/>
        </w:numPr>
        <w:rPr/>
      </w:pPr>
      <w:r>
        <w:rPr/>
        <w:t>Guía de la asignatura, en formato libre.</w:t>
      </w:r>
    </w:p>
    <w:p>
      <w:pPr>
        <w:pStyle w:val="TextBody"/>
        <w:numPr>
          <w:ilvl w:val="1"/>
          <w:numId w:val="3"/>
        </w:numPr>
        <w:rPr/>
      </w:pPr>
      <w:r>
        <w:rPr/>
        <w:t>Apuntes de la asignatura</w:t>
      </w:r>
    </w:p>
    <w:p>
      <w:pPr>
        <w:pStyle w:val="TextBody"/>
        <w:numPr>
          <w:ilvl w:val="1"/>
          <w:numId w:val="3"/>
        </w:numPr>
        <w:rPr/>
      </w:pPr>
      <w:r>
        <w:rPr/>
        <w:t>Transparencias de los temas de la asignatura</w:t>
      </w:r>
    </w:p>
    <w:p>
      <w:pPr>
        <w:pStyle w:val="TextBody"/>
        <w:numPr>
          <w:ilvl w:val="1"/>
          <w:numId w:val="3"/>
        </w:numPr>
        <w:rPr/>
      </w:pPr>
      <w:r>
        <w:rPr/>
        <w:t>Colecciones de ejercicios, problemas, trabajos o proyectos con o sin solución</w:t>
      </w:r>
    </w:p>
    <w:p>
      <w:pPr>
        <w:pStyle w:val="TextBody"/>
        <w:numPr>
          <w:ilvl w:val="1"/>
          <w:numId w:val="3"/>
        </w:numPr>
        <w:rPr/>
      </w:pPr>
      <w:r>
        <w:rPr/>
        <w:t>Colecciones de pruebas de evaluación con o sin solución</w:t>
      </w:r>
    </w:p>
    <w:p>
      <w:pPr>
        <w:pStyle w:val="TextBody"/>
        <w:numPr>
          <w:ilvl w:val="1"/>
          <w:numId w:val="3"/>
        </w:numPr>
        <w:rPr/>
      </w:pPr>
      <w:r>
        <w:rPr/>
        <w:t>Videos cortos (video-píldoras), para facilitar el seguimiento de los temas de la asignatura</w:t>
      </w:r>
    </w:p>
    <w:p>
      <w:pPr>
        <w:pStyle w:val="TextBody"/>
        <w:numPr>
          <w:ilvl w:val="1"/>
          <w:numId w:val="3"/>
        </w:numPr>
        <w:rPr/>
      </w:pPr>
      <w:r>
        <w:rPr/>
        <w:t>Otros materiales que puedan ser relevantes, dadas las características específicas de la asignatura</w:t>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2"/>
        </w:numPr>
        <w:rPr/>
      </w:pPr>
      <w:r>
        <w:rPr/>
        <w:t>Ha de estar actualizado para el curso académico al que se refiere esta convocatoria, y ser utilizado durante su impartición.</w:t>
      </w:r>
    </w:p>
    <w:p>
      <w:pPr>
        <w:pStyle w:val="TextBody"/>
        <w:numPr>
          <w:ilvl w:val="0"/>
          <w:numId w:val="2"/>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2"/>
      </w:r>
      <w:r>
        <w:rPr/>
        <w:t xml:space="preserve"> o Atribución-CompartirIgual</w:t>
      </w:r>
      <w:r>
        <w:rPr>
          <w:rStyle w:val="FootnoteAnchor"/>
        </w:rPr>
        <w:footnoteReference w:id="3"/>
      </w:r>
      <w:r>
        <w:rPr/>
        <w:t xml:space="preserve"> de Creative Commons). </w:t>
      </w:r>
    </w:p>
    <w:p>
      <w:pPr>
        <w:pStyle w:val="TextBody"/>
        <w:numPr>
          <w:ilvl w:val="0"/>
          <w:numId w:val="2"/>
        </w:numPr>
        <w:rPr/>
      </w:pPr>
      <w:r>
        <w:rPr/>
        <w:t>Es necesario que el material tenga en cuenta las buenas prácticas que aseguren los derechos sobre los materiales que se publican en abierto.</w:t>
      </w:r>
    </w:p>
    <w:p>
      <w:pPr>
        <w:pStyle w:val="TextBody"/>
        <w:numPr>
          <w:ilvl w:val="0"/>
          <w:numId w:val="2"/>
        </w:numPr>
        <w:rPr/>
      </w:pPr>
      <w:r>
        <w:rPr/>
        <w:t>En el caso de materiales bibliográficos (apuntes, transparencias, colecciones de problemas, colecciones de exámenes), deben estar depositados en el Archivo Abierto Institucional de la URJC (BURJC Digital</w:t>
      </w:r>
      <w:r>
        <w:rPr>
          <w:rStyle w:val="FootnoteAnchor"/>
        </w:rPr>
        <w:footnoteReference w:id="4"/>
      </w:r>
      <w:r>
        <w:rPr/>
        <w:t>) 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5"/>
      </w:r>
      <w:r>
        <w:rPr/>
        <w:t xml:space="preserve">. En cualquier caso, se recomienda utilizar formatos fuente editables con herramientas libres (LibreOffice o LaTeX, por ejemplo) o ampliamente extendidas (MS Office y similares). </w:t>
      </w:r>
    </w:p>
    <w:p>
      <w:pPr>
        <w:pStyle w:val="TextBody"/>
        <w:numPr>
          <w:ilvl w:val="0"/>
          <w:numId w:val="2"/>
        </w:numPr>
        <w:rPr/>
      </w:pPr>
      <w:r>
        <w:rPr/>
        <w:t>En el caso de videos, deben estar todos depositados en la misma serie correspondiente a la asignatura en TV URJC</w:t>
      </w:r>
      <w:r>
        <w:rPr>
          <w:rStyle w:val="FootnoteAnchor"/>
        </w:rPr>
        <w:footnoteReference w:id="6"/>
      </w:r>
      <w:r>
        <w:rPr/>
        <w:t xml:space="preserve"> y publicados en la asignatura correspondiente </w:t>
      </w:r>
      <w:r>
        <w:rPr/>
        <w:t>según las instrucciones detalladas en el procedimiento de subida de materiales a TV URJC</w:t>
      </w:r>
      <w:r>
        <w:rPr>
          <w:rStyle w:val="FootnoteAnchor"/>
        </w:rPr>
        <w:footnoteReference w:id="7"/>
      </w:r>
      <w:r>
        <w:rPr/>
        <w:t>.</w:t>
      </w:r>
    </w:p>
    <w:p>
      <w:pPr>
        <w:pStyle w:val="TextBody"/>
        <w:numPr>
          <w:ilvl w:val="0"/>
          <w:numId w:val="2"/>
        </w:numPr>
        <w:rPr/>
      </w:pPr>
      <w:r>
        <w:rPr/>
        <w:t>Han de incluir claramente en el encabezado o primera página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8"/>
      </w:r>
      <w:r>
        <w:rPr/>
        <w:t>.</w:t>
      </w:r>
    </w:p>
    <w:p>
      <w:pPr>
        <w:pStyle w:val="TextBody"/>
        <w:rPr/>
      </w:pPr>
      <w:r>
        <w:rPr/>
      </w:r>
    </w:p>
    <w:p>
      <w:pPr>
        <w:pStyle w:val="TextBody"/>
        <w:rPr/>
      </w:pPr>
      <w:r>
        <w:rPr/>
      </w:r>
    </w:p>
    <w:p>
      <w:pPr>
        <w:pStyle w:val="Heading1"/>
        <w:numPr>
          <w:ilvl w:val="0"/>
          <w:numId w:val="1"/>
        </w:numPr>
        <w:rPr/>
      </w:pPr>
      <w:r>
        <w:rPr/>
        <w:t xml:space="preserve">3. Incentivos y efectos </w:t>
      </w:r>
    </w:p>
    <w:p>
      <w:pPr>
        <w:pStyle w:val="TextBody"/>
        <w:rPr/>
      </w:pPr>
      <w:r>
        <w:rPr/>
      </w:r>
    </w:p>
    <w:p>
      <w:pPr>
        <w:pStyle w:val="TextBody"/>
        <w:rPr/>
      </w:pPr>
      <w:r>
        <w:rPr/>
        <w:t>Como resultado de la evaluación de las asignaturas presentadas a esta convocatoria, éstas serán clasificadas en “asignaturas sin materiales significativos en acceso abierto”, “asignaturas en acceso abierto” y “asignaturas destacadamente en acceso abierto”, según la baremación total que obtengan al aplicar la rúbrica descrita en esta convocatoria.</w:t>
      </w:r>
    </w:p>
    <w:p>
      <w:pPr>
        <w:pStyle w:val="TextBody"/>
        <w:rPr/>
      </w:pPr>
      <w:r>
        <w:rPr/>
        <w:t>Las asignaturas que sean clasificadas como “sin materiales significativos en acceso abierto” recibirán indicaciones sobre cómo mejorar la publicación en acceso abierto de sus materiales.</w:t>
      </w:r>
    </w:p>
    <w:p>
      <w:pPr>
        <w:pStyle w:val="TextBody"/>
        <w:rPr/>
      </w:pPr>
      <w:r>
        <w:rPr/>
        <w:t>Las asignaturas que sean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tenidos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 le corresponden por la división a partes iguales entre los beneficiarios de la misma de los créditos ECTS de la asignatura, por la cantidad económica por crédito, que será de 100 euros, hasta un total por docente máximo de 1.500 euros. La dotación global de los fondos para el curso 2022/23 ascenderá a 80.000 euros (40.000 euros por cuatrimestre), que serán satisfechos con cargo al presupuesto 30.ED de la partida Unidigital del área de Tecnologías de la Información. Para decidir qué asignaturas serán las que den derecho a este incentivo económico, se comenzará por las que tengan una baremación más alta, computando el número de ECTS que generen derecho a incentivo económico (según el cálculo anterior) hasta llegar a un total de 400 ECTS por cuatrimestre.</w:t>
      </w:r>
    </w:p>
    <w:p>
      <w:pPr>
        <w:pStyle w:val="TextBody"/>
        <w:rPr/>
      </w:pPr>
      <w:r>
        <w:rPr/>
        <w:t xml:space="preserve">Por último, las asignaturas que sean clasificadas como “destacadamente en acceso abierto” darán derecho a los docentes autores de materiales en acceso abierto de esas asignaturas, y que participen en su impartición, a impartirlas durante los tres cursos académicos siguientes, siempre que cada curso académico actualice convenientemente sus materiales y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TextBody"/>
        <w:rPr/>
      </w:pPr>
      <w:r>
        <w:rPr/>
      </w:r>
    </w:p>
    <w:p>
      <w:pPr>
        <w:pStyle w:val="Heading1"/>
        <w:numPr>
          <w:ilvl w:val="0"/>
          <w:numId w:val="1"/>
        </w:numPr>
        <w:rPr/>
      </w:pPr>
      <w:r>
        <w:rPr/>
        <w:t>4. Evaluación de las propuestas</w:t>
      </w:r>
    </w:p>
    <w:p>
      <w:pPr>
        <w:pStyle w:val="TextBody"/>
        <w:rPr/>
      </w:pPr>
      <w:r>
        <w:rPr/>
        <w:t>La evaluación de las propuestas presentadas se llevará a cabo por la Oficina de Conocimiento y Cultura Libres (OfiLibre) atendiendo a los criterios establecidos en la rúbrica del Anexo III y sus resultados serán utilizados por la Comisión de Asignaturas en Abierto para decidir su clasificación y su financiación si procede. Esta Comisión está integrada por:</w:t>
      </w:r>
    </w:p>
    <w:p>
      <w:pPr>
        <w:pStyle w:val="TextBody"/>
        <w:numPr>
          <w:ilvl w:val="0"/>
          <w:numId w:val="5"/>
        </w:numPr>
        <w:rPr/>
      </w:pPr>
      <w:r>
        <w:rPr/>
        <w:t xml:space="preserve">El Vicerrector </w:t>
      </w:r>
      <w:r>
        <w:rPr/>
        <w:t>o la Vicerrectora</w:t>
      </w:r>
      <w:r>
        <w:rPr/>
        <w:t>, o persona en quien delegue, con competencias en materia de Ordenación académica.</w:t>
      </w:r>
    </w:p>
    <w:p>
      <w:pPr>
        <w:pStyle w:val="TextBody"/>
        <w:numPr>
          <w:ilvl w:val="0"/>
          <w:numId w:val="5"/>
        </w:numPr>
        <w:rPr/>
      </w:pPr>
      <w:r>
        <w:rPr/>
        <w:t xml:space="preserve">El Vicerrector </w:t>
      </w:r>
      <w:r>
        <w:rPr/>
        <w:t>o la Vicerrectora</w:t>
      </w:r>
      <w:r>
        <w:rPr/>
        <w:t>, o persona en quien delegue, con competencias en materia de Transformación Digital.</w:t>
      </w:r>
    </w:p>
    <w:p>
      <w:pPr>
        <w:pStyle w:val="TextBody"/>
        <w:numPr>
          <w:ilvl w:val="0"/>
          <w:numId w:val="5"/>
        </w:numPr>
        <w:rPr/>
      </w:pPr>
      <w:r>
        <w:rPr/>
        <w:t>El</w:t>
      </w:r>
      <w:r>
        <w:rPr/>
        <w:t xml:space="preserve"> Vicerrector </w:t>
      </w:r>
      <w:r>
        <w:rPr/>
        <w:t>o la Vicerrectora</w:t>
      </w:r>
      <w:r>
        <w:rPr/>
        <w:t>, o persona en quien delegue, con competencias en materia de Publicación.</w:t>
      </w:r>
    </w:p>
    <w:p>
      <w:pPr>
        <w:pStyle w:val="TextBody"/>
        <w:numPr>
          <w:ilvl w:val="0"/>
          <w:numId w:val="5"/>
        </w:numPr>
        <w:rPr/>
      </w:pPr>
      <w:r>
        <w:rPr/>
        <w:t xml:space="preserve">El Director Académico </w:t>
      </w:r>
      <w:r>
        <w:rPr/>
        <w:t xml:space="preserve">o la Directora Académica </w:t>
      </w:r>
      <w:r>
        <w:rPr/>
        <w:t>del Centro de Innovación Docente y Educación Digital (CIED), o persona en quien delegue.</w:t>
      </w:r>
    </w:p>
    <w:p>
      <w:pPr>
        <w:pStyle w:val="TextBody"/>
        <w:numPr>
          <w:ilvl w:val="0"/>
          <w:numId w:val="5"/>
        </w:numPr>
        <w:rPr/>
      </w:pPr>
      <w:r>
        <w:rPr/>
        <w:t xml:space="preserve">El Coordinador Académico </w:t>
      </w:r>
      <w:r>
        <w:rPr/>
        <w:t xml:space="preserve">o la Coordinadora Académico </w:t>
      </w:r>
      <w:r>
        <w:rPr/>
        <w:t xml:space="preserve">de </w:t>
      </w:r>
      <w:r>
        <w:rPr/>
        <w:t>la Oficina de Conocimiento y Cultura Libres</w:t>
      </w:r>
      <w:r>
        <w:rPr/>
        <w:t>, o persona en quien delegue, que actuará como secretario.</w:t>
      </w:r>
    </w:p>
    <w:p>
      <w:pPr>
        <w:pStyle w:val="TextBody"/>
        <w:rPr/>
      </w:pPr>
      <w:r>
        <w:rPr/>
        <w:t>La Comisión de Asignaturas en Abierto tendrá la facultad de interpretar y aclarar las bases de la convocatoria. Para la resolución de dudas acerca de la convocatoria se puede contactar a través del correo electrónico ofilibre@urjc.es.</w:t>
      </w:r>
    </w:p>
    <w:p>
      <w:pPr>
        <w:pStyle w:val="TextBody"/>
        <w:rPr/>
      </w:pPr>
      <w:r>
        <w:rPr/>
      </w:r>
    </w:p>
    <w:p>
      <w:pPr>
        <w:pStyle w:val="Heading1"/>
        <w:numPr>
          <w:ilvl w:val="0"/>
          <w:numId w:val="1"/>
        </w:numPr>
        <w:rPr/>
      </w:pPr>
      <w:r>
        <w:rPr/>
        <w:t>5. Formalización y presentación de solicitudes</w:t>
      </w:r>
    </w:p>
    <w:p>
      <w:pPr>
        <w:pStyle w:val="TextBody"/>
        <w:jc w:val="both"/>
        <w:rPr/>
      </w:pPr>
      <w:r>
        <w:rPr>
          <w:b/>
          <w:bCs/>
        </w:rPr>
        <w:t xml:space="preserve">5.1 </w:t>
      </w:r>
      <w:r>
        <w:rPr/>
        <w:t>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En OfiLibre existirá un documento de preguntas frecuentes y/o documentación de apoyo para ayudar en la subida de la documentación en abierto.</w:t>
      </w:r>
    </w:p>
    <w:p>
      <w:pPr>
        <w:pStyle w:val="TextBody"/>
        <w:jc w:val="both"/>
        <w:rPr/>
      </w:pPr>
      <w:r>
        <w:rPr/>
        <w:t xml:space="preserve">La solicitud de cada asignatura deberá ser realizada por el docente que figure como responsable de grupo de actas correspondiente para el curso 2022/2023. Para ello rellenará por cada asignatura a solicitar el formulario existente en OfiLibre descrito en el Anexo I de esta convocatoria. </w:t>
      </w:r>
    </w:p>
    <w:p>
      <w:pPr>
        <w:pStyle w:val="TextBody"/>
        <w:jc w:val="both"/>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que la información que incluye en él es cierta, y que efectivamente los autores indicados tienen los derechos correspondientes para la publicación de los materiales en abierto de la asignatura que indica.</w:t>
      </w:r>
    </w:p>
    <w:p>
      <w:pPr>
        <w:pStyle w:val="TextBody"/>
        <w:jc w:val="both"/>
        <w:rPr/>
      </w:pPr>
      <w:r>
        <w:rPr/>
        <w:t>El plazo límite para rellenar y enviar el formulario es el día 30 de septiembre de 2022 a las 23:59 para asignaturas que se impartan durante el primer cuatrimestre, y el 20 de enero de 2023 para asignaturas que se impartan durante el segundo cuatrimestre.</w:t>
      </w:r>
    </w:p>
    <w:p>
      <w:pPr>
        <w:pStyle w:val="TextBody"/>
        <w:jc w:val="both"/>
        <w:rPr/>
      </w:pPr>
      <w:r>
        <w:rPr>
          <w:b/>
          <w:bCs/>
        </w:rPr>
        <w:t xml:space="preserve">5.2 </w:t>
      </w:r>
      <w:r>
        <w:rPr/>
        <w:t>Finalizado el plazo para la presentación de solicitudes, el Vicerrectorado de Extensión Universitaria examinará las solicitudes, y hará público en el tablón de anuncios electrónico de la URJC un listado con las solicitudes admitidas a trámite y las excluidas provisionalmente, junto con las causas de exclusión, concediendo un plazo de 10 días hábiles para la subsanación.</w:t>
      </w:r>
    </w:p>
    <w:p>
      <w:pPr>
        <w:pStyle w:val="TextBody"/>
        <w:jc w:val="both"/>
        <w:rPr/>
      </w:pPr>
      <w:r>
        <w:rPr>
          <w:b/>
          <w:bCs/>
        </w:rPr>
        <w:t xml:space="preserve">5.3 </w:t>
      </w:r>
      <w:r>
        <w:rPr/>
        <w:t xml:space="preserve">Tras la revisión de la documentación aportada dentro del plazo de subsanación señalado en el punto anterior, se publicará, mediante Resolución de la Vicerrectora de Extensión </w:t>
      </w:r>
      <w:r>
        <w:rPr/>
        <w:t>Universitaria</w:t>
      </w:r>
      <w:r>
        <w:rPr/>
        <w:t>, el listado definitivo con las solicitudes admitidas y excluidas, por los mismos medios antes indicados.</w:t>
      </w:r>
    </w:p>
    <w:p>
      <w:pPr>
        <w:pStyle w:val="TextBody"/>
        <w:jc w:val="both"/>
        <w:rPr/>
      </w:pPr>
      <w:r>
        <w:rPr>
          <w:b/>
          <w:bCs/>
        </w:rPr>
        <w:t xml:space="preserve">5.4 </w:t>
      </w:r>
      <w:r>
        <w:rPr/>
        <w:t>La Resolución de la Vicerrectora de Extensión Universitaria,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jc w:val="both"/>
        <w:rPr/>
      </w:pPr>
      <w:r>
        <w:rPr>
          <w:b/>
          <w:bCs/>
        </w:rPr>
        <w:t>5.5</w:t>
      </w:r>
      <w:r>
        <w:rPr/>
        <w:t xml:space="preserve"> Concluido el proceso de valoración de las propuestas, el Vicerrector de Ordenación Académica y Formación del profesorado, en nombre de la Comisión de Asignaturas en Abierto, emitirá la Resolución provisional de las asignaturas concedidas en abierto y la financiación correspondiente del profesorado, publicándola en el tablón de anuncios electrónico de la URJC. </w:t>
      </w:r>
    </w:p>
    <w:p>
      <w:pPr>
        <w:pStyle w:val="TextBody"/>
        <w:jc w:val="both"/>
        <w:rPr/>
      </w:pPr>
      <w:r>
        <w:rPr>
          <w:b/>
          <w:bCs/>
        </w:rPr>
        <w:t xml:space="preserve">5.6 </w:t>
      </w:r>
      <w:r>
        <w:rPr/>
        <w:t xml:space="preserve">Seguidamente, se abrirá un proceso de reclamación concediendo un plazo de 10 días hábiles. Transcurrido este plazo, la Comisión de Asignaturas en Abierto examinará todas las solicitudes presentadas, y resolverá publicando en su nombre el Vicerrector de Transformación Digital e Innovación docente la Resolución definitiva de las asignaturas en abierto y su financiación en el tablón de anuncios electrónico de la URJC. </w:t>
      </w:r>
    </w:p>
    <w:p>
      <w:pPr>
        <w:pStyle w:val="TextBody"/>
        <w:jc w:val="both"/>
        <w:rPr/>
      </w:pPr>
      <w:r>
        <w:rPr>
          <w:b/>
          <w:bCs/>
        </w:rPr>
        <w:t>5.7</w:t>
      </w:r>
      <w:r>
        <w:rPr/>
        <w:t xml:space="preserve"> Contra la resolución definitiva, el solicitante podrá presentar recurso de alzada ante el Rector en los términos indicados en el punto 5.4.</w:t>
      </w:r>
    </w:p>
    <w:p>
      <w:pPr>
        <w:pStyle w:val="TextBody"/>
        <w:jc w:val="both"/>
        <w:rPr/>
      </w:pPr>
      <w:r>
        <w:rPr/>
      </w:r>
    </w:p>
    <w:p>
      <w:pPr>
        <w:pStyle w:val="Heading1"/>
        <w:numPr>
          <w:ilvl w:val="0"/>
          <w:numId w:val="1"/>
        </w:numPr>
        <w:rPr/>
      </w:pPr>
      <w:r>
        <w:rPr/>
        <w:t>6. Protección de datos</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jc w:val="both"/>
        <w:rPr/>
      </w:pPr>
      <w:r>
        <w:rPr/>
        <w:t>Los datos personales recogidos con motivo de la presentación de las solicitudes serán tratados con la estricta finalidad de la concesión y gestión de las mismas, ateniéndose a las bases de la correspondiente convocatoria. Asimismo, se informa que los datos tratados no serán cedidos salvo los casos previstos legalmente, con especial atención a las obligaciones contenidas en la L.O. 3/2018, de 5 de diciembre, de Protección de Datos de Carácter Personal y garantía de los derechos digitales, y en la Ley 19/2013, de Transparencia, Acceso a la Información pública y Buen Gobierno. Se informa igualmente que, en cumplimiento de la normativa citada, si la información personal tratada contuviera datos especialmente protegidos, la publicidad solo se llevará a cabo previa disociación de los mismos. La publicación de la resolución se llevará a cabo bajo el estricto respeto de la normativa de protección de datos. Los solicitantes que participen en el proceso correspondiente podrán ejercer frente al Vicerrectorado de Extensión Universitaria, responsable del tratamiento de sus datos personales, los derechos de acceso, rectificación, cancelación y oposición de los mismos, de lo que serán informados en los correspondientes impresos habilitados al efecto.</w:t>
      </w:r>
    </w:p>
    <w:p>
      <w:pPr>
        <w:pStyle w:val="TextBody"/>
        <w:jc w:val="both"/>
        <w:rPr/>
      </w:pPr>
      <w:r>
        <w:rPr/>
      </w:r>
    </w:p>
    <w:p>
      <w:pPr>
        <w:pStyle w:val="Heading1"/>
        <w:numPr>
          <w:ilvl w:val="0"/>
          <w:numId w:val="1"/>
        </w:numPr>
        <w:rPr/>
      </w:pPr>
      <w:r>
        <w:rPr/>
        <w:t>7. Recursos</w:t>
      </w:r>
    </w:p>
    <w:p>
      <w:pPr>
        <w:pStyle w:val="TextBody"/>
        <w:jc w:val="both"/>
        <w:rPr/>
      </w:pPr>
      <w:r>
        <w:rPr/>
      </w:r>
    </w:p>
    <w:p>
      <w:pPr>
        <w:pStyle w:val="TextBody"/>
        <w:jc w:val="both"/>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p>
    <w:p>
      <w:pPr>
        <w:pStyle w:val="Normal"/>
        <w:rPr/>
      </w:pPr>
      <w:r>
        <w:rPr/>
      </w:r>
      <w:r>
        <w:br w:type="page"/>
      </w:r>
    </w:p>
    <w:p>
      <w:pPr>
        <w:pStyle w:val="TextBody"/>
        <w:jc w:val="both"/>
        <w:rPr/>
      </w:pPr>
      <w:r>
        <w:rPr/>
      </w:r>
    </w:p>
    <w:p>
      <w:pPr>
        <w:pStyle w:val="Normal"/>
        <w:spacing w:lineRule="auto" w:line="360"/>
        <w:jc w:val="center"/>
        <w:rPr>
          <w:b/>
          <w:b/>
          <w:bCs/>
          <w:sz w:val="32"/>
          <w:szCs w:val="32"/>
        </w:rPr>
      </w:pPr>
      <w:r>
        <w:rPr>
          <w:b/>
          <w:bCs/>
          <w:sz w:val="32"/>
          <w:szCs w:val="32"/>
        </w:rPr>
        <w:t>ANEXO I</w:t>
      </w:r>
    </w:p>
    <w:p>
      <w:pPr>
        <w:pStyle w:val="Normal"/>
        <w:spacing w:lineRule="auto" w:line="360"/>
        <w:jc w:val="center"/>
        <w:rPr>
          <w:rFonts w:ascii="Calibri" w:hAnsi="Calibri" w:eastAsia="Calibri" w:cs="Calibri"/>
          <w:b/>
          <w:b/>
          <w:bCs/>
        </w:rPr>
      </w:pPr>
      <w:r>
        <w:rPr>
          <w:rFonts w:eastAsia="Calibri" w:cs="Calibri" w:ascii="Calibri" w:hAnsi="Calibri"/>
          <w:b/>
          <w:bCs/>
        </w:rPr>
        <w:t>FORMULARIO DE SOLICITUD</w:t>
      </w:r>
    </w:p>
    <w:p>
      <w:pPr>
        <w:pStyle w:val="TextBody"/>
        <w:rPr/>
      </w:pPr>
      <w:r>
        <w:rPr/>
        <w:t xml:space="preserve"> </w:t>
      </w:r>
      <w:r>
        <w:rPr/>
        <w:t>Constará de los siguientes campos:</w:t>
      </w:r>
    </w:p>
    <w:p>
      <w:pPr>
        <w:pStyle w:val="TextBody"/>
        <w:numPr>
          <w:ilvl w:val="0"/>
          <w:numId w:val="4"/>
        </w:numPr>
        <w:rPr/>
      </w:pPr>
      <w:r>
        <w:rPr/>
        <w:t>Nombre del profesor</w:t>
      </w:r>
    </w:p>
    <w:p>
      <w:pPr>
        <w:pStyle w:val="TextBody"/>
        <w:numPr>
          <w:ilvl w:val="0"/>
          <w:numId w:val="4"/>
        </w:numPr>
        <w:rPr/>
      </w:pPr>
      <w:r>
        <w:rPr/>
        <w:t>Para cada asignatura que se aporte:</w:t>
      </w:r>
    </w:p>
    <w:p>
      <w:pPr>
        <w:pStyle w:val="TextBody"/>
        <w:numPr>
          <w:ilvl w:val="1"/>
          <w:numId w:val="4"/>
        </w:numPr>
        <w:rPr/>
      </w:pPr>
      <w:r>
        <w:rPr/>
        <w:t>Nombre de la asignatura</w:t>
      </w:r>
    </w:p>
    <w:p>
      <w:pPr>
        <w:pStyle w:val="TextBody"/>
        <w:numPr>
          <w:ilvl w:val="1"/>
          <w:numId w:val="4"/>
        </w:numPr>
        <w:rPr/>
      </w:pPr>
      <w:r>
        <w:rPr/>
        <w:t xml:space="preserve">Titulación </w:t>
      </w:r>
    </w:p>
    <w:p>
      <w:pPr>
        <w:pStyle w:val="TextBody"/>
        <w:numPr>
          <w:ilvl w:val="1"/>
          <w:numId w:val="4"/>
        </w:numPr>
        <w:rPr/>
      </w:pPr>
      <w:r>
        <w:rPr/>
        <w:t xml:space="preserve">Titulaciones y asignaturas que podrían utilizar de forma directa los mismos materiales </w:t>
      </w:r>
    </w:p>
    <w:p>
      <w:pPr>
        <w:pStyle w:val="TextBody"/>
        <w:numPr>
          <w:ilvl w:val="1"/>
          <w:numId w:val="4"/>
        </w:numPr>
        <w:rPr/>
      </w:pPr>
      <w:r>
        <w:rPr/>
        <w:t>Identificador de la asignatura en el Aula Virtual de la URJC (URL directa de la asignatura)</w:t>
      </w:r>
    </w:p>
    <w:p>
      <w:pPr>
        <w:pStyle w:val="TextBody"/>
        <w:numPr>
          <w:ilvl w:val="1"/>
          <w:numId w:val="4"/>
        </w:numPr>
        <w:rPr/>
      </w:pPr>
      <w:r>
        <w:rPr/>
        <w:t>Listado de profesores que han participado en la elaboración de los materiales (identificadores de dominio único de la URJC)</w:t>
      </w:r>
    </w:p>
    <w:p>
      <w:pPr>
        <w:pStyle w:val="TextBody"/>
        <w:numPr>
          <w:ilvl w:val="1"/>
          <w:numId w:val="4"/>
        </w:numPr>
        <w:rPr/>
      </w:pPr>
      <w:r>
        <w:rPr/>
        <w:t>Listado de docentes que imparten la asignatura en el curso 2022/2023 (identificadores de dominio único de la URJC)</w:t>
      </w:r>
    </w:p>
    <w:p>
      <w:pPr>
        <w:pStyle w:val="TextBody"/>
        <w:numPr>
          <w:ilvl w:val="1"/>
          <w:numId w:val="4"/>
        </w:numPr>
        <w:rPr/>
      </w:pPr>
      <w:r>
        <w:rPr/>
        <w:t>Créditos ECTS de la asignatura</w:t>
      </w:r>
    </w:p>
    <w:p>
      <w:pPr>
        <w:pStyle w:val="TextBody"/>
        <w:numPr>
          <w:ilvl w:val="1"/>
          <w:numId w:val="4"/>
        </w:numPr>
        <w:rPr/>
      </w:pPr>
      <w:r>
        <w:rPr/>
        <w:t>Materiales que se presentan: listado de las categorías contempladas en la convocatoria, donde se incluirá al url del material en acceso abierto. En caso de tener vídeos en abierto se debe incluir la identificación de la serie (o canal) de TV URJC de la asignatura donde se han publicado.</w:t>
      </w:r>
    </w:p>
    <w:p>
      <w:pPr>
        <w:pStyle w:val="TextBody"/>
        <w:numPr>
          <w:ilvl w:val="1"/>
          <w:numId w:val="4"/>
        </w:numPr>
        <w:rPr/>
      </w:pPr>
      <w:r>
        <w:rPr/>
        <w:t>Indicación de que todos los docentes de la asignatura están de acuerdo y consienten en que se presente a esta convocatoria.</w:t>
      </w:r>
    </w:p>
    <w:p>
      <w:pPr>
        <w:pStyle w:val="TextBody"/>
        <w:ind w:left="1080" w:hanging="0"/>
        <w:rPr/>
      </w:pPr>
      <w:r>
        <w:rPr/>
      </w:r>
    </w:p>
    <w:p>
      <w:pPr>
        <w:pStyle w:val="Normal"/>
        <w:rPr/>
      </w:pPr>
      <w:r>
        <w:rPr/>
      </w:r>
      <w:r>
        <w:br w:type="page"/>
      </w:r>
    </w:p>
    <w:p>
      <w:pPr>
        <w:pStyle w:val="TextBody"/>
        <w:rPr/>
      </w:pPr>
      <w:r>
        <w:rPr/>
      </w:r>
    </w:p>
    <w:p>
      <w:pPr>
        <w:pStyle w:val="Normal"/>
        <w:spacing w:lineRule="auto" w:line="360"/>
        <w:jc w:val="center"/>
        <w:rPr>
          <w:b/>
          <w:b/>
          <w:bCs/>
          <w:sz w:val="32"/>
          <w:szCs w:val="32"/>
        </w:rPr>
      </w:pPr>
      <w:r>
        <w:rPr>
          <w:b/>
          <w:bCs/>
          <w:sz w:val="32"/>
          <w:szCs w:val="32"/>
        </w:rPr>
        <w:t>ANEXO II</w:t>
      </w:r>
    </w:p>
    <w:p>
      <w:pPr>
        <w:pStyle w:val="Normal"/>
        <w:spacing w:lineRule="auto" w:line="360"/>
        <w:jc w:val="center"/>
        <w:rPr>
          <w:rFonts w:ascii="Calibri" w:hAnsi="Calibri" w:eastAsia="Calibri" w:cs="Calibri"/>
          <w:b/>
          <w:b/>
          <w:bCs/>
        </w:rPr>
      </w:pPr>
      <w:r>
        <w:rPr>
          <w:rFonts w:eastAsia="Calibri" w:cs="Calibri" w:ascii="Calibri" w:hAnsi="Calibri"/>
          <w:b/>
          <w:bCs/>
        </w:rPr>
        <w:t>RÚBRICA DE EVALUACIÓN DE ASIGNATURAS EN ABIERTO</w:t>
      </w:r>
    </w:p>
    <w:p>
      <w:pPr>
        <w:pStyle w:val="Normal"/>
        <w:spacing w:lineRule="auto" w:line="360"/>
        <w:jc w:val="both"/>
        <w:rPr>
          <w:rFonts w:ascii="Calibri" w:hAnsi="Calibri" w:eastAsia="Calibri" w:cs="Calibri"/>
        </w:rPr>
      </w:pPr>
      <w:r>
        <w:rPr>
          <w:rFonts w:eastAsia="Calibri" w:cs="Calibri" w:ascii="Calibri" w:hAnsi="Calibri"/>
        </w:rPr>
      </w:r>
    </w:p>
    <w:p>
      <w:pPr>
        <w:pStyle w:val="Normal"/>
        <w:jc w:val="both"/>
        <w:rPr>
          <w:color w:val="404040"/>
          <w:sz w:val="22"/>
          <w:szCs w:val="22"/>
        </w:rPr>
      </w:pPr>
      <w:r>
        <w:rPr>
          <w:color w:val="404040"/>
          <w:sz w:val="22"/>
          <w:szCs w:val="22"/>
        </w:rPr>
        <w:t>Todos los ítems han de estar correctamente justificados en el apartado de la solicitud que se indica en la última columna.</w:t>
      </w:r>
    </w:p>
    <w:p>
      <w:pPr>
        <w:pStyle w:val="Normal"/>
        <w:spacing w:lineRule="auto" w:line="360"/>
        <w:jc w:val="both"/>
        <w:rPr>
          <w:rFonts w:ascii="Calibri" w:hAnsi="Calibri" w:eastAsia="Calibri" w:cs="Calibri"/>
        </w:rPr>
      </w:pPr>
      <w:r>
        <w:rPr>
          <w:rFonts w:eastAsia="Calibri" w:cs="Calibri" w:ascii="Calibri" w:hAnsi="Calibri"/>
        </w:rPr>
      </w:r>
    </w:p>
    <w:tbl>
      <w:tblPr>
        <w:tblW w:w="9751" w:type="dxa"/>
        <w:jc w:val="left"/>
        <w:tblInd w:w="60" w:type="dxa"/>
        <w:tblLayout w:type="fixed"/>
        <w:tblCellMar>
          <w:top w:w="15" w:type="dxa"/>
          <w:left w:w="30" w:type="dxa"/>
          <w:bottom w:w="15" w:type="dxa"/>
          <w:right w:w="30" w:type="dxa"/>
        </w:tblCellMar>
        <w:tblLook w:val="04a0" w:noHBand="0" w:noVBand="1" w:firstColumn="1" w:lastRow="0" w:lastColumn="0" w:firstRow="1"/>
      </w:tblPr>
      <w:tblGrid>
        <w:gridCol w:w="2805"/>
        <w:gridCol w:w="1418"/>
        <w:gridCol w:w="1559"/>
        <w:gridCol w:w="1843"/>
        <w:gridCol w:w="2126"/>
      </w:tblGrid>
      <w:tr>
        <w:trPr>
          <w:trHeight w:val="351" w:hRule="atLeast"/>
        </w:trPr>
        <w:tc>
          <w:tcPr>
            <w:tcW w:w="2805" w:type="dxa"/>
            <w:tcBorders>
              <w:top w:val="single" w:sz="24" w:space="0" w:color="D1D1D1"/>
              <w:left w:val="single" w:sz="24" w:space="0" w:color="D1D1D1"/>
              <w:bottom w:val="single" w:sz="24" w:space="0" w:color="D1D1D1"/>
              <w:right w:val="single" w:sz="24" w:space="0" w:color="D1D1D1"/>
            </w:tcBorders>
            <w:shd w:color="auto"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ITEMS</w:t>
            </w:r>
          </w:p>
        </w:tc>
        <w:tc>
          <w:tcPr>
            <w:tcW w:w="6946" w:type="dxa"/>
            <w:gridSpan w:val="4"/>
            <w:tcBorders>
              <w:top w:val="single" w:sz="24" w:space="0" w:color="D1D1D1"/>
              <w:left w:val="single" w:sz="24" w:space="0" w:color="D1D1D1"/>
              <w:bottom w:val="single" w:sz="24" w:space="0" w:color="D1D1D1"/>
              <w:right w:val="single" w:sz="24" w:space="0" w:color="D1D1D1"/>
            </w:tcBorders>
            <w:shd w:color="auto"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ESCALA DE VALORACIÓN</w:t>
            </w:r>
          </w:p>
        </w:tc>
      </w:tr>
      <w:tr>
        <w:trPr/>
        <w:tc>
          <w:tcPr>
            <w:tcW w:w="2805"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Número de grupos donde se imparte la misma asignatura donde se utilizan los mismos materiales</w:t>
            </w:r>
          </w:p>
        </w:tc>
        <w:tc>
          <w:tcPr>
            <w:tcW w:w="1418"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solo sirven para esta asignatura de la URJC (0)</w:t>
            </w:r>
          </w:p>
        </w:tc>
        <w:tc>
          <w:tcPr>
            <w:tcW w:w="1559"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se podrían utilizar en otras asignaturas de la URJC (3)</w:t>
            </w:r>
          </w:p>
        </w:tc>
        <w:tc>
          <w:tcPr>
            <w:tcW w:w="1843"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se utilizan en otras asignaturas de la URJC, aunque de forma parcial (5)</w:t>
            </w:r>
          </w:p>
        </w:tc>
        <w:tc>
          <w:tcPr>
            <w:tcW w:w="2126"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se utilizan en otras asignaturas de la URJC de forma completa (8)</w:t>
            </w:r>
          </w:p>
        </w:tc>
      </w:tr>
      <w:tr>
        <w:trPr/>
        <w:tc>
          <w:tcPr>
            <w:tcW w:w="2805"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w:t>
            </w:r>
            <w:r>
              <w:rPr>
                <w:rFonts w:eastAsia="Times New Roman" w:cs="Segoe UI" w:ascii="Segoe UI" w:hAnsi="Segoe UI"/>
                <w:color w:val="000000"/>
                <w:kern w:val="0"/>
                <w:sz w:val="20"/>
                <w:szCs w:val="20"/>
                <w:lang w:eastAsia="es-ES_tradnl" w:bidi="ar-SA"/>
              </w:rPr>
              <w:t>Guía de la asignatura enlazada</w:t>
            </w:r>
          </w:p>
        </w:tc>
        <w:tc>
          <w:tcPr>
            <w:tcW w:w="1418"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 presenta (0)</w:t>
            </w:r>
          </w:p>
        </w:tc>
        <w:tc>
          <w:tcPr>
            <w:tcW w:w="1559"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Incluye un calendario con el plan docente detallado (3)</w:t>
            </w:r>
          </w:p>
        </w:tc>
        <w:tc>
          <w:tcPr>
            <w:tcW w:w="1843"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Incluye también el detalle de los materiales, ejercicios, etc, y una guía de estudio (6)</w:t>
            </w:r>
          </w:p>
        </w:tc>
        <w:tc>
          <w:tcPr>
            <w:tcW w:w="2126"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Incluye además otros detalles que ayuden al seguimiento de la asignatura (10)</w:t>
            </w:r>
          </w:p>
        </w:tc>
      </w:tr>
      <w:tr>
        <w:trPr/>
        <w:tc>
          <w:tcPr>
            <w:tcW w:w="2805" w:type="dxa"/>
            <w:tcBorders>
              <w:left w:val="single" w:sz="24" w:space="0" w:color="D1D1D1"/>
              <w:bottom w:val="single" w:sz="24" w:space="0" w:color="D1D1D1"/>
              <w:right w:val="single" w:sz="24" w:space="0" w:color="D1D1D1"/>
            </w:tcBorders>
            <w:shd w:color="auto"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Transparencias en abierto enlazadas</w:t>
            </w:r>
          </w:p>
        </w:tc>
        <w:tc>
          <w:tcPr>
            <w:tcW w:w="1418" w:type="dxa"/>
            <w:tcBorders>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(3)</w:t>
            </w:r>
          </w:p>
        </w:tc>
        <w:tc>
          <w:tcPr>
            <w:tcW w:w="1843" w:type="dxa"/>
            <w:tcBorders>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la mayor parte de temas de la asignatura (5)</w:t>
            </w:r>
          </w:p>
        </w:tc>
        <w:tc>
          <w:tcPr>
            <w:tcW w:w="2126" w:type="dxa"/>
            <w:tcBorders>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(8)</w:t>
            </w:r>
          </w:p>
        </w:tc>
      </w:tr>
      <w:tr>
        <w:trPr/>
        <w:tc>
          <w:tcPr>
            <w:tcW w:w="2805"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Apuntes en abierto enlazados</w:t>
            </w:r>
          </w:p>
        </w:tc>
        <w:tc>
          <w:tcPr>
            <w:tcW w:w="1418"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(5)</w:t>
            </w:r>
          </w:p>
        </w:tc>
        <w:tc>
          <w:tcPr>
            <w:tcW w:w="1843"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la mayor parte de temas de la asignatura (7)</w:t>
            </w:r>
          </w:p>
        </w:tc>
        <w:tc>
          <w:tcPr>
            <w:tcW w:w="2126"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(10)</w:t>
            </w:r>
          </w:p>
        </w:tc>
      </w:tr>
      <w:tr>
        <w:trPr/>
        <w:tc>
          <w:tcPr>
            <w:tcW w:w="2805"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Colecciones de ejercicios o problemas en abierto enlazados</w:t>
            </w:r>
          </w:p>
        </w:tc>
        <w:tc>
          <w:tcPr>
            <w:tcW w:w="1418"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pero están sin resolver (5)</w:t>
            </w:r>
          </w:p>
        </w:tc>
        <w:tc>
          <w:tcPr>
            <w:tcW w:w="1843"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y están resueltos (10)</w:t>
            </w:r>
          </w:p>
        </w:tc>
      </w:tr>
      <w:tr>
        <w:trPr/>
        <w:tc>
          <w:tcPr>
            <w:tcW w:w="2805"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Colecciones de trabajos, prácticas o proyectos en abierto enlazados</w:t>
            </w:r>
          </w:p>
        </w:tc>
        <w:tc>
          <w:tcPr>
            <w:tcW w:w="1418"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pero están sin resolver (5)</w:t>
            </w:r>
          </w:p>
        </w:tc>
        <w:tc>
          <w:tcPr>
            <w:tcW w:w="1843"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y están resueltos (10)</w:t>
            </w:r>
          </w:p>
        </w:tc>
      </w:tr>
      <w:tr>
        <w:trPr/>
        <w:tc>
          <w:tcPr>
            <w:tcW w:w="2805"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Colecciones de pruebas de evaluación en abierto enlazados</w:t>
            </w:r>
          </w:p>
        </w:tc>
        <w:tc>
          <w:tcPr>
            <w:tcW w:w="1418"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pero están sin resolver (3)</w:t>
            </w:r>
          </w:p>
        </w:tc>
        <w:tc>
          <w:tcPr>
            <w:tcW w:w="1843"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y están resueltos o con posibilidad de autoevaluación (10)</w:t>
            </w:r>
          </w:p>
        </w:tc>
      </w:tr>
      <w:tr>
        <w:trPr/>
        <w:tc>
          <w:tcPr>
            <w:tcW w:w="2805"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Video píldoras (hasta 15 min) enlazadas con TV URJC</w:t>
            </w:r>
          </w:p>
        </w:tc>
        <w:tc>
          <w:tcPr>
            <w:tcW w:w="1418"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Video introductorio de la asignatura (5)</w:t>
            </w:r>
          </w:p>
        </w:tc>
        <w:tc>
          <w:tcPr>
            <w:tcW w:w="1843"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(7)</w:t>
            </w:r>
          </w:p>
        </w:tc>
        <w:tc>
          <w:tcPr>
            <w:tcW w:w="2126" w:type="dxa"/>
            <w:tcBorders>
              <w:top w:val="single" w:sz="24" w:space="0" w:color="D1D1D1"/>
              <w:left w:val="single" w:sz="24" w:space="0" w:color="D1D1D1"/>
              <w:bottom w:val="single" w:sz="24" w:space="0" w:color="D1D1D1"/>
              <w:right w:val="single" w:sz="24" w:space="0" w:color="D1D1D1"/>
            </w:tcBorders>
            <w:shd w:color="auto"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(10)</w:t>
            </w:r>
          </w:p>
        </w:tc>
      </w:tr>
    </w:tbl>
    <w:p>
      <w:pPr>
        <w:pStyle w:val="Normal"/>
        <w:spacing w:lineRule="auto" w:line="360"/>
        <w:jc w:val="both"/>
        <w:rPr>
          <w:rFonts w:ascii="Calibri" w:hAnsi="Calibri" w:eastAsia="Calibri" w:cs="Calibri"/>
        </w:rPr>
      </w:pPr>
      <w:r>
        <w:rPr>
          <w:rFonts w:eastAsia="Calibri" w:cs="Calibri" w:ascii="Calibri" w:hAnsi="Calibri"/>
        </w:rPr>
      </w:r>
    </w:p>
    <w:p>
      <w:pPr>
        <w:pStyle w:val="TextBody"/>
        <w:spacing w:lineRule="auto" w:line="276" w:before="0" w:after="140"/>
        <w:rPr/>
      </w:pPr>
      <w:r>
        <w:rPr/>
      </w:r>
    </w:p>
    <w:sectPr>
      <w:headerReference w:type="default" r:id="rId4"/>
      <w:footnotePr>
        <w:numFmt w:val="decimal"/>
      </w:footnotePr>
      <w:type w:val="nextPage"/>
      <w:pgSz w:w="11906" w:h="16838"/>
      <w:pgMar w:left="1134" w:right="1134" w:gutter="0" w:header="1134" w:top="1693"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3">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4">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5">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https://ofilibre.gitlab.io/guias/</w:t>
        </w:r>
        <w:r>
          <w:rPr>
            <w:rStyle w:val="InternetLink"/>
          </w:rPr>
          <w:t>plantillas-asignaturas-abierto/</w:t>
        </w:r>
      </w:hyperlink>
    </w:p>
  </w:footnote>
  <w:footnote w:id="6">
    <w:p>
      <w:pPr>
        <w:pStyle w:val="Footnote"/>
        <w:rPr>
          <w:lang w:val="en-US"/>
        </w:rPr>
      </w:pPr>
      <w:r>
        <w:rPr>
          <w:rStyle w:val="FootnoteCharacters"/>
        </w:rPr>
        <w:footnoteRef/>
      </w:r>
      <w:r>
        <w:rPr>
          <w:lang w:val="en-US"/>
        </w:rPr>
        <w:tab/>
        <w:t xml:space="preserve">TV URJC: </w:t>
      </w:r>
      <w:hyperlink r:id="rId5">
        <w:r>
          <w:rPr>
            <w:rStyle w:val="InternetLink"/>
            <w:lang w:val="en-US"/>
          </w:rPr>
          <w:t>https://tv.urjc.es/</w:t>
        </w:r>
      </w:hyperlink>
    </w:p>
  </w:footnote>
  <w:footnote w:id="7">
    <w:p>
      <w:pPr>
        <w:pStyle w:val="Footnote"/>
        <w:rPr/>
      </w:pPr>
      <w:r>
        <w:rPr>
          <w:rStyle w:val="FootnoteCharacters"/>
        </w:rPr>
        <w:footnoteRef/>
      </w:r>
      <w:r>
        <w:rPr/>
        <w:tab/>
        <w:t>Procedimiento de publicación de materiales en TV URJC:</w:t>
      </w:r>
    </w:p>
    <w:p>
      <w:pPr>
        <w:pStyle w:val="Footnote"/>
        <w:rPr/>
      </w:pPr>
      <w:r>
        <w:rPr/>
        <w:tab/>
        <w:tab/>
      </w:r>
      <w:hyperlink r:id="rId6">
        <w:r>
          <w:rPr>
            <w:rStyle w:val="InternetLink"/>
          </w:rPr>
          <w:t>https://infotic.urjc.es/pages/viewpage.action?pageId=154370093</w:t>
        </w:r>
      </w:hyperlink>
    </w:p>
  </w:footnote>
  <w:footnote w:id="8">
    <w:p>
      <w:pPr>
        <w:pStyle w:val="Footnote"/>
        <w:rPr/>
      </w:pPr>
      <w:r>
        <w:rPr>
          <w:rStyle w:val="FootnoteCharacters"/>
        </w:rPr>
        <w:footnoteRef/>
      </w:r>
      <w:r>
        <w:rPr/>
        <w:tab/>
        <w:t>Guía sobre reconocimiento de publicación de asignaturas en acceso abierto:</w:t>
      </w:r>
    </w:p>
    <w:p>
      <w:pPr>
        <w:pStyle w:val="Footnote"/>
        <w:rPr/>
      </w:pPr>
      <w:r>
        <w:rPr/>
        <w:tab/>
        <w:tab/>
      </w:r>
      <w:hyperlink r:id="rId7">
        <w:r>
          <w:rPr>
            <w:rStyle w:val="InternetLink"/>
          </w:rPr>
          <w:t>https://ofilibre.gitlab.io/guias/convocatoria-asignaturas-abierto/</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8"/>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AR PL KaitiM GB" w:cs="FreeSans"/>
      <w:color w:val="auto"/>
      <w:kern w:val="2"/>
      <w:sz w:val="24"/>
      <w:szCs w:val="24"/>
      <w:lang w:val="es-ES" w:eastAsia="zh-CN" w:bidi="hi-IN"/>
    </w:rPr>
  </w:style>
  <w:style w:type="paragraph" w:styleId="Heading1">
    <w:name w:val="Heading 1"/>
    <w:basedOn w:val="Heading"/>
    <w:next w:val="TextBody"/>
    <w:link w:val="Ttulo1Car"/>
    <w:uiPriority w:val="9"/>
    <w:qFormat/>
    <w:pPr>
      <w:numPr>
        <w:ilvl w:val="0"/>
        <w:numId w:val="1"/>
      </w:numPr>
      <w:outlineLvl w:val="0"/>
    </w:pPr>
    <w:rPr>
      <w:b/>
      <w:bCs/>
      <w:sz w:val="36"/>
      <w:szCs w:val="36"/>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TextocomentarioCar" w:customStyle="1">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customStyle="1">
    <w:name w:val="Asunto del comentario Car"/>
    <w:basedOn w:val="TextocomentarioCar"/>
    <w:qFormat/>
    <w:rPr>
      <w:rFonts w:cs="Mangal"/>
      <w:b/>
      <w:bCs/>
      <w:sz w:val="20"/>
      <w:szCs w:val="18"/>
    </w:rPr>
  </w:style>
  <w:style w:type="character" w:styleId="TextoindependienteCar" w:customStyle="1">
    <w:name w:val="Texto independiente Car"/>
    <w:basedOn w:val="DefaultParagraphFont"/>
    <w:qFormat/>
    <w:rPr/>
  </w:style>
  <w:style w:type="character" w:styleId="Ttulo1Car" w:customStyle="1">
    <w:name w:val="Título 1 Car"/>
    <w:basedOn w:val="DefaultParagraphFont"/>
    <w:link w:val="Heading1"/>
    <w:qFormat/>
    <w:rPr>
      <w:rFonts w:ascii="Liberation Sans" w:hAnsi="Liberation Sans"/>
      <w:b/>
      <w:bCs/>
      <w:sz w:val="36"/>
      <w:szCs w:val="36"/>
    </w:rPr>
  </w:style>
  <w:style w:type="character" w:styleId="EncabezadoCar" w:customStyle="1">
    <w:name w:val="Encabezado Car"/>
    <w:basedOn w:val="DefaultParagraphFont"/>
    <w:link w:val="Header"/>
    <w:qFormat/>
    <w:rPr>
      <w:rFonts w:cs="Mangal"/>
      <w:szCs w:val="21"/>
    </w:rPr>
  </w:style>
  <w:style w:type="character" w:styleId="PiedepginaCar" w:customStyle="1">
    <w:name w:val="Pie de página Car"/>
    <w:basedOn w:val="DefaultParagraphFont"/>
    <w:link w:val="Footer"/>
    <w:qFormat/>
    <w:rPr>
      <w:rFonts w:cs="Mangal"/>
      <w:szCs w:val="21"/>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uiPriority w:val="10"/>
    <w:qFormat/>
    <w:pPr>
      <w:jc w:val="center"/>
    </w:pPr>
    <w:rPr>
      <w:b/>
      <w:bCs/>
      <w:sz w:val="56"/>
      <w:szCs w:val="56"/>
    </w:rPr>
  </w:style>
  <w:style w:type="paragraph" w:styleId="Footnote">
    <w:name w:val="Footnote Text"/>
    <w:basedOn w:val="Normal"/>
    <w:pPr>
      <w:suppressLineNumbers/>
      <w:ind w:left="339"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bidi w:val="0"/>
      <w:spacing w:before="0" w:after="0"/>
      <w:jc w:val="left"/>
    </w:pPr>
    <w:rPr>
      <w:rFonts w:cs="Mangal" w:ascii="Liberation Serif" w:hAnsi="Liberation Serif" w:eastAsia="AR PL KaitiM GB"/>
      <w:color w:val="auto"/>
      <w:kern w:val="2"/>
      <w:sz w:val="24"/>
      <w:szCs w:val="21"/>
      <w:lang w:val="es-ES" w:eastAsia="zh-CN" w:bidi="hi-IN"/>
    </w:rPr>
  </w:style>
  <w:style w:type="paragraph" w:styleId="HeaderandFooter" w:customStyle="1">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customStyle="1">
    <w:name w:val="Table Contents"/>
    <w:basedOn w:val="Normal"/>
    <w:qFormat/>
    <w:pPr>
      <w:widowControl w:val="false"/>
      <w:suppressLineNumbers/>
    </w:pPr>
    <w:rPr/>
  </w:style>
  <w:style w:type="numbering" w:styleId="NoList" w:default="1">
    <w:name w:val="No List"/>
    <w:uiPriority w:val="99"/>
    <w:semiHidden/>
    <w:unhideWhenUsed/>
    <w:qFormat/>
  </w:style>
  <w:style w:type="numbering" w:styleId="Bullet" w:customStyle="1">
    <w:name w:val="Bullet •"/>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gitlab.io/guias/plantillas-asignaturas-abierto/" TargetMode="External"/><Relationship Id="rId5" Type="http://schemas.openxmlformats.org/officeDocument/2006/relationships/hyperlink" Target="https://tv.urjc.es/" TargetMode="External"/><Relationship Id="rId6" Type="http://schemas.openxmlformats.org/officeDocument/2006/relationships/hyperlink" Target="https://infotic.urjc.es/pages/viewpage.action?pageId=154370093" TargetMode="External"/><Relationship Id="rId7" Type="http://schemas.openxmlformats.org/officeDocument/2006/relationships/hyperlink" Target="https://ofilibre.gitlab.io/guias/convocatoria-asignaturas-abierto/"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db577-9554-4c5b-9261-ee00f9e0e057">
      <Terms xmlns="http://schemas.microsoft.com/office/infopath/2007/PartnerControls"/>
    </lcf76f155ced4ddcb4097134ff3c332f>
    <TaxCatchAll xmlns="fb290e72-d2e4-4e68-8a85-7cb76d3458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5B3FE6BEC05A42851C2D24585DC6FE" ma:contentTypeVersion="14" ma:contentTypeDescription="Crear nuevo documento." ma:contentTypeScope="" ma:versionID="a44d623787737ab5c9ca3d041fafd5b7">
  <xsd:schema xmlns:xsd="http://www.w3.org/2001/XMLSchema" xmlns:xs="http://www.w3.org/2001/XMLSchema" xmlns:p="http://schemas.microsoft.com/office/2006/metadata/properties" xmlns:ns2="466db577-9554-4c5b-9261-ee00f9e0e057" xmlns:ns3="fb290e72-d2e4-4e68-8a85-7cb76d3458ae" targetNamespace="http://schemas.microsoft.com/office/2006/metadata/properties" ma:root="true" ma:fieldsID="2448d0a7d0d6421f2c533c49c611e9fb" ns2:_="" ns3:_="">
    <xsd:import namespace="466db577-9554-4c5b-9261-ee00f9e0e057"/>
    <xsd:import namespace="fb290e72-d2e4-4e68-8a85-7cb76d345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db577-9554-4c5b-9261-ee00f9e0e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f859abf-b1ed-4d7f-b0cb-7b9e116598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290e72-d2e4-4e68-8a85-7cb76d3458ae"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61c5cbd-fb8b-438d-8bff-305e8a75c321}" ma:internalName="TaxCatchAll" ma:showField="CatchAllData" ma:web="fb290e72-d2e4-4e68-8a85-7cb76d345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02FAF-FE72-43AB-9490-6747FB16CFBC}">
  <ds:schemaRefs>
    <ds:schemaRef ds:uri="http://schemas.microsoft.com/sharepoint/v3/contenttype/forms"/>
  </ds:schemaRefs>
</ds:datastoreItem>
</file>

<file path=customXml/itemProps2.xml><?xml version="1.0" encoding="utf-8"?>
<ds:datastoreItem xmlns:ds="http://schemas.openxmlformats.org/officeDocument/2006/customXml" ds:itemID="{D2B06273-1374-454E-A4FB-A7D7CA46B64C}">
  <ds:schemaRefs>
    <ds:schemaRef ds:uri="http://purl.org/dc/terms/"/>
    <ds:schemaRef ds:uri="http://schemas.openxmlformats.org/package/2006/metadata/core-properties"/>
    <ds:schemaRef ds:uri="462599bc-cdda-41fa-ae14-a5eb054a15bc"/>
    <ds:schemaRef ds:uri="http://purl.org/dc/dcmitype/"/>
    <ds:schemaRef ds:uri="http://schemas.microsoft.com/office/2006/documentManagement/types"/>
    <ds:schemaRef ds:uri="http://purl.org/dc/elements/1.1/"/>
    <ds:schemaRef ds:uri="http://schemas.microsoft.com/office/2006/metadata/properties"/>
    <ds:schemaRef ds:uri="d2d6e64a-6537-4fe9-a1f5-9dc7f50dbeab"/>
    <ds:schemaRef ds:uri="http://schemas.microsoft.com/office/infopath/2007/PartnerControls"/>
    <ds:schemaRef ds:uri="http://www.w3.org/XML/1998/namespace"/>
    <ds:schemaRef ds:uri="466db577-9554-4c5b-9261-ee00f9e0e057"/>
    <ds:schemaRef ds:uri="fb290e72-d2e4-4e68-8a85-7cb76d3458ae"/>
  </ds:schemaRefs>
</ds:datastoreItem>
</file>

<file path=customXml/itemProps3.xml><?xml version="1.0" encoding="utf-8"?>
<ds:datastoreItem xmlns:ds="http://schemas.openxmlformats.org/officeDocument/2006/customXml" ds:itemID="{86CFDABF-B01E-4284-A5B2-4C679A41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db577-9554-4c5b-9261-ee00f9e0e057"/>
    <ds:schemaRef ds:uri="fb290e72-d2e4-4e68-8a85-7cb76d345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Application>LibreOffice/7.3.3.1$Linux_X86_64 LibreOffice_project/30$Build-1</Application>
  <AppVersion>15.0000</AppVersion>
  <Pages>9</Pages>
  <Words>3340</Words>
  <Characters>18453</Characters>
  <CharactersWithSpaces>21650</CharactersWithSpaces>
  <Paragraphs>133</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2022-04-19T10:12:00Z</dcterms:created>
  <dc:creator>Jesus Gonzalez-Barahona</dc:creator>
  <dc:description/>
  <dc:language>es-ES</dc:language>
  <cp:lastModifiedBy>Jesus Gonzalez-Barahona</cp:lastModifiedBy>
  <dcterms:modified xsi:type="dcterms:W3CDTF">2022-05-09T23:58:44Z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